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pStyle w:val="2"/>
        <w:spacing w:line="540" w:lineRule="atLeast"/>
        <w:jc w:val="center"/>
        <w:rPr>
          <w:rFonts w:hint="eastAsia" w:ascii="微软雅黑" w:hAnsi="微软雅黑" w:eastAsia="微软雅黑" w:cs="微软雅黑"/>
          <w:b/>
          <w:bCs/>
          <w:color w:val="000000" w:themeColor="text1"/>
          <w:sz w:val="24"/>
          <w:szCs w:val="24"/>
          <w14:textFill>
            <w14:solidFill>
              <w14:schemeClr w14:val="tx1"/>
            </w14:solidFill>
          </w14:textFill>
        </w:rPr>
      </w:pPr>
      <w:bookmarkStart w:id="0" w:name="_GoBack"/>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233网校</w:t>
      </w:r>
      <w:r>
        <w:rPr>
          <w:rFonts w:hint="eastAsia" w:ascii="微软雅黑" w:hAnsi="微软雅黑" w:eastAsia="微软雅黑" w:cs="微软雅黑"/>
          <w:b/>
          <w:bCs/>
          <w:color w:val="000000" w:themeColor="text1"/>
          <w:sz w:val="24"/>
          <w:szCs w:val="24"/>
          <w14:textFill>
            <w14:solidFill>
              <w14:schemeClr w14:val="tx1"/>
            </w14:solidFill>
          </w14:textFill>
        </w:rPr>
        <w:t>2016年一级建造师</w:t>
      </w:r>
      <w:r>
        <w:rPr>
          <w:rFonts w:hint="eastAsia" w:ascii="微软雅黑" w:hAnsi="微软雅黑" w:eastAsia="微软雅黑" w:cs="微软雅黑"/>
          <w:b/>
          <w:bCs/>
          <w:color w:val="000000" w:themeColor="text1"/>
          <w:sz w:val="24"/>
          <w:szCs w:val="24"/>
          <w:lang w:eastAsia="zh-CN"/>
          <w14:textFill>
            <w14:solidFill>
              <w14:schemeClr w14:val="tx1"/>
            </w14:solidFill>
          </w14:textFill>
        </w:rPr>
        <w:t>《</w:t>
      </w:r>
      <w:r>
        <w:rPr>
          <w:rFonts w:hint="eastAsia" w:ascii="微软雅黑" w:hAnsi="微软雅黑" w:eastAsia="微软雅黑" w:cs="微软雅黑"/>
          <w:b/>
          <w:bCs/>
          <w:color w:val="000000" w:themeColor="text1"/>
          <w:sz w:val="24"/>
          <w:szCs w:val="24"/>
          <w:lang w:val="en-US" w:eastAsia="zh-CN"/>
          <w14:textFill>
            <w14:solidFill>
              <w14:schemeClr w14:val="tx1"/>
            </w14:solidFill>
          </w14:textFill>
        </w:rPr>
        <w:t>建筑工程</w:t>
      </w:r>
      <w:r>
        <w:rPr>
          <w:rFonts w:hint="eastAsia" w:ascii="微软雅黑" w:hAnsi="微软雅黑" w:eastAsia="微软雅黑" w:cs="微软雅黑"/>
          <w:b/>
          <w:bCs/>
          <w:color w:val="000000" w:themeColor="text1"/>
          <w:sz w:val="24"/>
          <w:szCs w:val="24"/>
          <w:lang w:eastAsia="zh-CN"/>
          <w14:textFill>
            <w14:solidFill>
              <w14:schemeClr w14:val="tx1"/>
            </w14:solidFill>
          </w14:textFill>
        </w:rPr>
        <w:t>》</w:t>
      </w:r>
      <w:r>
        <w:rPr>
          <w:rFonts w:hint="eastAsia" w:ascii="微软雅黑" w:hAnsi="微软雅黑" w:eastAsia="微软雅黑" w:cs="微软雅黑"/>
          <w:b/>
          <w:bCs/>
          <w:color w:val="000000" w:themeColor="text1"/>
          <w:sz w:val="24"/>
          <w:szCs w:val="24"/>
          <w14:textFill>
            <w14:solidFill>
              <w14:schemeClr w14:val="tx1"/>
            </w14:solidFill>
          </w14:textFill>
        </w:rPr>
        <w:t>考试真题及答案</w:t>
      </w:r>
    </w:p>
    <w:bookmarkEnd w:id="0"/>
    <w:p>
      <w:pP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有疑问，看名师视频解读，真题解析版免费开放：</w:t>
      </w:r>
    </w:p>
    <w:p>
      <w:pPr>
        <w:rPr>
          <w:rFonts w:hint="eastAsia" w:ascii="微软雅黑" w:hAnsi="微软雅黑" w:eastAsia="微软雅黑" w:cs="微软雅黑"/>
          <w:lang w:val="en-US" w:eastAsia="zh-CN"/>
        </w:rPr>
      </w:pPr>
      <w:r>
        <w:rPr>
          <w:rFonts w:hint="eastAsia" w:ascii="微软雅黑" w:hAnsi="微软雅黑" w:eastAsia="微软雅黑" w:cs="微软雅黑"/>
          <w:b/>
          <w:bCs/>
          <w:lang w:val="en-US" w:eastAsia="zh-CN"/>
        </w:rPr>
        <w:fldChar w:fldCharType="begin"/>
      </w:r>
      <w:r>
        <w:rPr>
          <w:rFonts w:hint="eastAsia" w:ascii="微软雅黑" w:hAnsi="微软雅黑" w:eastAsia="微软雅黑" w:cs="微软雅黑"/>
          <w:b/>
          <w:bCs/>
          <w:lang w:val="en-US" w:eastAsia="zh-CN"/>
        </w:rPr>
        <w:instrText xml:space="preserve"> HYPERLINK "http://wx.233.com/search/v1/study/zhenti?cid=335&amp;isshow=1" </w:instrText>
      </w:r>
      <w:r>
        <w:rPr>
          <w:rFonts w:hint="eastAsia" w:ascii="微软雅黑" w:hAnsi="微软雅黑" w:eastAsia="微软雅黑" w:cs="微软雅黑"/>
          <w:b/>
          <w:bCs/>
          <w:lang w:val="en-US" w:eastAsia="zh-CN"/>
        </w:rPr>
        <w:fldChar w:fldCharType="separate"/>
      </w:r>
      <w:r>
        <w:rPr>
          <w:rStyle w:val="10"/>
          <w:rFonts w:hint="eastAsia" w:ascii="微软雅黑" w:hAnsi="微软雅黑" w:eastAsia="微软雅黑" w:cs="微软雅黑"/>
          <w:b/>
          <w:bCs/>
          <w:lang w:val="en-US" w:eastAsia="zh-CN"/>
        </w:rPr>
        <w:t>http://wx.233.com/search/v1/study/zhenti?cid=335&amp;isshow=1</w:t>
      </w:r>
      <w:r>
        <w:rPr>
          <w:rFonts w:hint="eastAsia" w:ascii="微软雅黑" w:hAnsi="微软雅黑" w:eastAsia="微软雅黑" w:cs="微软雅黑"/>
          <w:b/>
          <w:bCs/>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233网校考后及时公布2017年一级建造师考试真题及答案，请关注网站首页：</w:t>
      </w: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"http://www.233.com/jzs1/"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lang w:val="en-US" w:eastAsia="zh-CN"/>
        </w:rPr>
        <w:t>http://www.233.com/jzs1/</w:t>
      </w:r>
      <w:r>
        <w:rPr>
          <w:rFonts w:hint="eastAsia" w:ascii="微软雅黑" w:hAnsi="微软雅黑" w:eastAsia="微软雅黑" w:cs="微软雅黑"/>
          <w:lang w:val="en-US" w:eastAsia="zh-CN"/>
        </w:rPr>
        <w:fldChar w:fldCharType="end"/>
      </w:r>
    </w:p>
    <w:p>
      <w:pPr>
        <w:jc w:val="cente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扫码下载233网校APP，考后及时对答案！</w:t>
      </w:r>
    </w:p>
    <w:p>
      <w:pPr>
        <w:jc w:val="center"/>
        <w:rPr>
          <w:rFonts w:hint="eastAsia" w:eastAsia="黑体"/>
          <w:lang w:val="en-US" w:eastAsia="zh-CN"/>
        </w:rPr>
      </w:pPr>
      <w:r>
        <w:rPr>
          <w:rFonts w:hint="eastAsia" w:ascii="微软雅黑" w:hAnsi="微软雅黑" w:eastAsia="微软雅黑" w:cs="微软雅黑"/>
          <w:b w:val="0"/>
          <w:i w:val="0"/>
          <w:caps w:val="0"/>
          <w:color w:val="333333"/>
          <w:spacing w:val="0"/>
          <w:sz w:val="18"/>
          <w:szCs w:val="18"/>
          <w:u w:val="none"/>
        </w:rPr>
        <w:drawing>
          <wp:inline distT="0" distB="0" distL="114300" distR="114300">
            <wp:extent cx="3391535" cy="1495425"/>
            <wp:effectExtent l="0" t="0" r="18415" b="9525"/>
            <wp:docPr id="11" name="图片 3" descr="IMG_25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6"/>
                    <pic:cNvPicPr>
                      <a:picLocks noChangeAspect="1"/>
                    </pic:cNvPicPr>
                  </pic:nvPicPr>
                  <pic:blipFill>
                    <a:blip r:embed="rId9"/>
                    <a:stretch>
                      <a:fillRect/>
                    </a:stretch>
                  </pic:blipFill>
                  <pic:spPr>
                    <a:xfrm>
                      <a:off x="0" y="0"/>
                      <a:ext cx="3391535" cy="1495425"/>
                    </a:xfrm>
                    <a:prstGeom prst="rect">
                      <a:avLst/>
                    </a:prstGeom>
                    <a:noFill/>
                    <a:ln w="9525">
                      <a:noFill/>
                    </a:ln>
                  </pic:spPr>
                </pic:pic>
              </a:graphicData>
            </a:graphic>
          </wp:inline>
        </w:drawing>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一、单项选择题(共2题，每题1分。每题的备选项中，只有1个最符合题意 )</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1.设计使用年限为50年，处于一般环境大截面钢筋混凝土凝土柱，其混凝土强度等级不应低于()。</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A．C15</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B．C20</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C．C25</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D．C30</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【233网校答案】B P5；C P6</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【233网校解析】设计使用年限为50年的构件，P5混凝土强度等级不小于C20；P6混凝土强度等级不小于C25。2013年出过类似的。</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2.既有建筑装修时，如需改变原建筑使用功能，应取得()许可。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A．原设计单位</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B．建设单位</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C．监理单位</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D．施工单位</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【233网校答案】A</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【233网校解析】装修时不能自行改变原来的建筑使用功能。如需改变时，应该取得原设计单位的许可。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3.下列建筑结构体系中，侧向刚度最大的是()。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A．桁架结构体系</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B．筒体体结构体系</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C．框架剪力墙结构体系</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D．混合结构体系</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【233网校答案】B</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【233网校解析】筒体结构是抵抗水平荷载最有效的结构体系。</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4.下列水泥品种中，配制C60高强混凝土宜优先选用()。</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A．矿渣水泥</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B．硅酸盐水泥</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C．火山水泥</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D．复合水泥</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【233网校答案】B</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【233网校解析】高强（大于C50级）混凝土宜优先选用硅酸盐水泥，不宜使用火山灰水泥和粉煤灰水泥。</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5下列混凝土掺台料中，属于非括性矿物掺和料的是()。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A．石灰石粉</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B．硅灰</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C．沸石粉</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D．粒化高炉矿渣粉</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【233网校答案】A</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混凝土掺合料分为活性矿物掺台料和非活性矿物掺合料。非活性矿物掺合料基本不与水泥组分起反应，如磨细石英砂、石灰石、硬矿渣等材料。活性矿物掺合料如粉煤灰、粒化高炉矿渣粉、硅灰、沸石粉等本身不硬化或硬化速度很慢，但能与水泥水化生成的Ca(OH)2起反应，生成具有胶凝能力的水化产物。</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6.关于花岗石特性的说法，错误的是()。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A．强度高</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B．密度大</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C．耐磨性能好</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D．属碱性石材</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【233网校答案】D</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【233网校解析】花岗石构造致密强度高、密度大、吸水率极低、质地坚硬、耐磨，属酸性硬石材。</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7.框架结构的主梁，次梁与板交叉处，其上部钢筋从上往下的顺序是()。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A．板、主粱、次粱</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B．板、次粱、主粱</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C．次粱、板、主粱</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D．主粱、次粱、板</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【233网校答案】B</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【233网校解析】板、次梁与主梁交叉处，板的钢筋在上，次梁的钢筋居中，主梁的钢筋在下，当有圈梁或垫梁时，主梁的钢筋在上。</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8.关于土方回填施工工艺的说法，错误的是()。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A．土料应尽量采用同类土</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B．应从场地最低处开始回填</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C．应在相对两侧对称回填</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D．虚铺厚度根据含水量确定</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 D</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【233网校解析】填土应尽量采用同类土填筑。填土应从场地最低处开始，每层虚铺厚度应根据夯实机械确定。填方应在相对两侧或周围同时进行回填和夯实。</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9.下列钢结构防火涂料类别中，不属于按使用厚度进行分类的是()。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A．B类</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B．CB类</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C．H类</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D．N类</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【233网校答案】D</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【233网校解析】防火涂料按使用厚度可分为CB、B和H三类：</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10下列塑料管材料类别中，最适合用作普通建筑雨水管道的是()。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 FVC-C</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 PP-R</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 FVC-U</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D．PEX</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【233网校答案】C</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【233网校解析】硬聚氯乙烯(PC-U)管应用：用于给水管道（非饮用水）、排水管道、雨水管道。</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11下列暗龙骨吊顶工序的排序中，正确的是()。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①安装主龙骨②安装副龙骨③安装水电管线④安装压条⑤安装罩面板</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A．①③②④⑤</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B．①②③④⑤</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C．③①②⑤④</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D．③②①④⑤</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【233网校答案】C</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【233网校解析】暗龙骨吊顶施工施工流程：放线→划龙骨分档线→安装水电管线→安装主龙骨→安装副龙骨→安装罩面板→安装压条。</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12下列砌体结构墙体裂缝现象中，主要原因不是地基不均匀下沉引起的是()。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A．纵墙两端出现斜裂缝</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B．裂缝通过窗口两个对角</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C．窗间墙出现水平裂缝</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D．窗间墙出现竖向裂缝</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【233网校答案】D</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【233网校解析】地基不均匀下沉引起的墙体裂缝：</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1)在纵墙的两端出现斜裂缝，多数裂缝通过窗口的两个对角</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2)在窗间墙的上下对角处成对出现水平裂缝3)在纵墙中央的顶部和底部窗台处出现竖向裂缝，裂缝上宽下窄。</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13.下列施工场所中，照明电压不得超过12V的是()。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A．地下车库</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B．潮湿场所</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C．金属容器内</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D．人防工程</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【233网校答案】C</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【233网校解析】下列特殊场所应使用安全特低电压照明器：</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1)隧道人防工程、高温、有导电灰尘比较潮湿或灯具离地面高度低于2.5m等场所的照明，电源电压不应大于36V。</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2)潮湿和易触及带电体场所的照明，电源电压不得大于24V。</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3)特别潮湿场所、导电良好的地面锅炉或金属容器内的照明，电源电压不得大于12V。</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14.关于招标投标的说法，正确的是()。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A．招标分为公开招标，邀请招标和议标</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B．投标人少于三家应重新招标</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C．多个法人不可以联合投标</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D．招标人答疑仅需书面回复提出疑问的投标人</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【233网校答案】B</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【233网校解析】投标人少于三个的，招标人应当依法重新招标。</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15.建设工程的保修期自()之日起计算。</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A．施工完成</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B．竣工验收合格</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C．竣工验收备案</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D．工程移交</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【233网校答案】B</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【233网校解析】保修期自工程竣工验收合格之日起计算。</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16氡是一种无色无味无法察觉的惰性气体，主要从()等材料中析出。</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A．大理石</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B．油漆涂料</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C．复合地板</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D．化纤地毯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【233网校答案】A</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【233网校解析】水泥、砖、砂、大理石、瓷砖等建筑材料是氡的主要来源，地质断裂带处也会有大量的氡析出。</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17.成型钢筋在进场时无需复验的项目是()。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A．抗拉强度</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B．弯曲性能</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C．伸长率</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D．重量偏差</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【233网校答案】B</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【233网校解析】钢筋进场时，应按国家现行相关标准的规定抽取试件作屈服强度、抗拉强度、伸长率、弯曲性能和重量偏差检验（成型钢筋进场可不检验弯曲性能），检验结果应符合相应标准的规定。</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18.关于施工现场文明施工的说法，错误的是()。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A．现场宿舍必须设置开启式窗户</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B．现场食堂必须办理卫生许可证</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C．施工现场必须实行封闭管理</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D．施工现场办公区与生括区必须分开设置</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【233网校答案】D</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【233网校解析】施工现场的施工区域应与办公、生括区划分清晰，但是办公区与生括区可以一起设置。</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19.主持编制“项目管理实施规划”的是()。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A．企业管理层</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B．企业委托的管理单位</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C．项目经理</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D．项目技术负责人</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【233网校答案】C</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【233网校解析】项目管理规划大纲应自组织的管理层或组织委托的项目管理单位编制，项目管理实施规划应自项目经理组织编制。</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20.按新建民用建筑节能管理的要求，可不进行节能性能查验的材料或设备是()。</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A．结构材料</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B．保温材料</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C．制冷系统</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D．照明设备</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【233网校答案】A</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【233网校解析】施工单位应当对进入施工现场的墙体材料保温材料、门窗、采暖制冷系统和照明设备进行查验，不符合施工图设计文件要求的，不得使用。</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二、多项选择题（共10题，每题2分。每题的备选项中，有2个或2个以上符合题意，至少1个错项。错选，本题不得分，少选，所选的每个选项得0 5分）。</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21.室内疏散楼梯踏步最小宽度不小于0.28m的工程类型有()。</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A.住宅</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B.小学学校</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C.旅馆</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D.大学学校</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E.体育馆</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 xml:space="preserve">【233网校答案】CDE </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22.建筑石膏的技术性能包括()。</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A.凝结硬化慢</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B.硬化时体积微膨胀</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C.硬化后孔隙率低</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D.防水性能好</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E.抗冻性差</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【233网校答案】BE</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【233网校解析】建筑石膏的技术性质</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(1)凝结硬化快。</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(2)硬化时体积微膨胀。</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(3)硬化后孔隙率高。</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(4)防火性能好。</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(5)耐水性和抗冻性差。</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23节能装饰型玻璃包括()。</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A.压花玻璃</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B.彩色平板玻璃</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C.“Low-E”玻璃</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D.中空玻璃</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E.真空玻璃</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【233网校答案】CDE</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【233网校解析】节能装饰型玻璃包括：（一）着色玻璃（二）镀膜玻璃（三）中空玻璃（四）真空玻璃。</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24可以起到防止深基坑坑底突涌的措施有()。</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A.集水明排</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B.钻孔减压</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C.井点降水</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D.井点回灌</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E.水平封底隔渗</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【233网校答案】BE</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【233网校解析】当基坑底为隔水层且层底作用有承压水时，应进行坑底突涌验算，必要时可采取水平封底隔渗或钻孔减压措施保证坑底土层稳定。</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25关于砌筑砂浆的说法，正确的有()。</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A.砂浆应采用机械搅拌</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B.水泥粉煤灰砂浆搅拌时间不得小于3min</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C.留置试块为边长7.07cm的正方体</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D.同盘砂浆应留置两组试件</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E.六个试件为一组</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【233网校答案】ABC</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【233网校解析】砂浆应采用机械搅拌，搅拌时间自投料完算起，应为：</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1)水泥砂浆和水泥混合砂浆，不得少于2min；</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2)水泥粉煤灰砂浆和掺用外加剂的砂浆，不得少于3min；</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3)预拌砂浆及加气混凝土砌块专用砂浆宜按掺用外加剂的砂浆确定搅拌时间或按产品说明书采用。</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4）砂浆强度自边长为7.07cm的正方体试件，经过28d标准养护，测得一组三块的抗压强度值来评定。5）砂浆试块应在卸料过程中的中间部位随机取样，现场制作，同盘砂浆只应制作一组试块。</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26无牯结预应力施工包含的工序有()。</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A.预应力筋下料</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B.预留孔道</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C.预应力筋张拉</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D.孔道灌浆</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E.锚头处理</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【233网校答案】ACE</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【233网校解析】无粘结预应力施工：它的特点是不需预留孔道和灌浆，施工简单等。在无粘结预应力施工中，主要工作是无粘结预应力筋的铺设张拉和锚固区的处理。</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27.关于屋面卷材防水施工要求的说法，正确的有()。</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A.先施工细部，再施工大面</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B.平行屋脊搭接缝应顺流方向</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C.大坡面铺贴应采用满粘法</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D.上下两层卷材垂直铺贴</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E.上下两层卷材长边搭接缝错开</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【233网校答案】ABCE</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卷材防水层施工时，应先进行细部构造处理，然后自屋面最低标高向上铺贴。平行屋脊的搭接缝顺流水方向。立面或大坡面铺贴卷材时，应采用满粘法，并宜减少卷材短边搭接。卷材宜平行屋脊铺贴，上下层卷材不得相互垂直铺贴。上下层卷材长边搭接缝应错开，且不应小于幅宽的1／3。</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28根据《建筑工程施工质量验收统一标准》(GB50300-2013)，属于主体结构分部的有()。</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A.混凝土结构</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B.型钢混凝土结构</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C.铝合金结构</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D.劲钢（管）混凝土结构</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E.网架和索膜结构</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【233网校答案】ABC</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【233网校解析】主体结构主要包括：混凝土结构砌体结构、钢结构、钢管混凝土结构、型钢混凝土结构、铝合金结构、木结构等子分部工程。新老规范区别。</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29.塔式起重机按固定方式进行分类可分为()。</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A.伸缩式</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B.轨道式</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C.附墙式</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D.内爬式</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E.自升式</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【233网校答案】BCD</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【233网校解析】按固定方式划分：固定式、轨道式、附墙式、内爬式。</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30混凝土在高温施工环境下施工，可采取的措施有()。</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A.在早间施工</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B.在晚间施工</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C.喷雾</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D.连续浇筑</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E. 吹风</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【233网校答案】ABCD</w:t>
      </w:r>
    </w:p>
    <w:p>
      <w:pPr>
        <w:pStyle w:val="7"/>
        <w:widowControl/>
        <w:jc w:val="left"/>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rPr>
        <w:t>【233网校解析】超教材；《混凝土结构工程施工规范GB50666-2011》10.3.6</w:t>
      </w:r>
    </w:p>
    <w:p>
      <w:pPr>
        <w:widowControl/>
        <w:numPr>
          <w:ilvl w:val="0"/>
          <w:numId w:val="1"/>
        </w:numPr>
        <w:jc w:val="left"/>
        <w:rPr>
          <w:rFonts w:hint="eastAsia" w:ascii="宋体" w:hAnsi="宋体" w:eastAsia="宋体" w:cs="宋体"/>
          <w:kern w:val="0"/>
          <w:sz w:val="21"/>
          <w:szCs w:val="21"/>
        </w:rPr>
      </w:pPr>
      <w:r>
        <w:rPr>
          <w:rFonts w:hint="eastAsia" w:ascii="宋体" w:hAnsi="宋体" w:eastAsia="宋体" w:cs="宋体"/>
          <w:kern w:val="0"/>
          <w:sz w:val="21"/>
          <w:szCs w:val="21"/>
        </w:rPr>
        <w:t>案例分析题（共5题，（一）、（二）、（三）题各20分，（四）、（五）题各30分）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（一）</w:t>
      </w:r>
      <w:r>
        <w:rPr>
          <w:rFonts w:hint="eastAsia" w:ascii="宋体" w:hAnsi="宋体" w:eastAsia="宋体" w:cs="宋体"/>
          <w:kern w:val="0"/>
          <w:sz w:val="21"/>
          <w:szCs w:val="21"/>
        </w:rPr>
        <w:br w:type="textWrapping"/>
      </w:r>
      <w:r>
        <w:rPr>
          <w:rFonts w:hint="eastAsia" w:ascii="宋体" w:hAnsi="宋体" w:eastAsia="宋体" w:cs="宋体"/>
          <w:kern w:val="0"/>
          <w:sz w:val="21"/>
          <w:szCs w:val="21"/>
        </w:rPr>
        <w:t>背景资料</w:t>
      </w:r>
      <w:r>
        <w:rPr>
          <w:rFonts w:hint="eastAsia" w:ascii="宋体" w:hAnsi="宋体" w:eastAsia="宋体" w:cs="宋体"/>
          <w:kern w:val="0"/>
          <w:sz w:val="21"/>
          <w:szCs w:val="21"/>
        </w:rPr>
        <w:br w:type="textWrapping"/>
      </w:r>
      <w:r>
        <w:rPr>
          <w:rFonts w:hint="eastAsia" w:ascii="宋体" w:hAnsi="宋体" w:eastAsia="宋体" w:cs="宋体"/>
          <w:kern w:val="0"/>
          <w:sz w:val="21"/>
          <w:szCs w:val="21"/>
        </w:rPr>
        <w:t>某综合楼工程，地下三层，地上二十层，总建筑面积68000m</w:t>
      </w:r>
      <w:r>
        <w:rPr>
          <w:rFonts w:hint="eastAsia" w:ascii="宋体" w:hAnsi="宋体" w:eastAsia="宋体" w:cs="宋体"/>
          <w:kern w:val="0"/>
          <w:sz w:val="21"/>
          <w:szCs w:val="21"/>
          <w:vertAlign w:val="superscript"/>
        </w:rPr>
        <w:t>2</w:t>
      </w:r>
      <w:r>
        <w:rPr>
          <w:rFonts w:hint="eastAsia" w:ascii="宋体" w:hAnsi="宋体" w:eastAsia="宋体" w:cs="宋体"/>
          <w:kern w:val="0"/>
          <w:sz w:val="21"/>
          <w:szCs w:val="21"/>
        </w:rPr>
        <w:t>，地基基础设计等级为甲级，灌注桩筏板板基础，现浇钢筋混凝土框架剪力墙结构。建设单位与施工单位按照《建设工程施工合同（示范文本）》签订了施工合同，约定竣工时需向建设单位移交变形测量报告，部分主要材料由建设单位采购提供。施工单位委托第三方测量单位进行施工阶段的建筑变形测量。</w:t>
      </w:r>
      <w:r>
        <w:rPr>
          <w:rFonts w:hint="eastAsia" w:ascii="宋体" w:hAnsi="宋体" w:eastAsia="宋体" w:cs="宋体"/>
          <w:kern w:val="0"/>
          <w:sz w:val="21"/>
          <w:szCs w:val="21"/>
        </w:rPr>
        <w:br w:type="textWrapping"/>
      </w:r>
      <w:r>
        <w:rPr>
          <w:rFonts w:hint="eastAsia" w:ascii="宋体" w:hAnsi="宋体" w:eastAsia="宋体" w:cs="宋体"/>
          <w:kern w:val="0"/>
          <w:sz w:val="21"/>
          <w:szCs w:val="21"/>
        </w:rPr>
        <w:t>基础桩设计桩径800mm、长度35m~42m，混凝土强度等级C30，共计900根，施工单位编制的桩基施工方案中列明。采用泥浆护壁成孔、导管法水下灌注C30混凝土；灌注时桩顶混凝土面超过设计标高500mm；每根桩留置1组混凝土试件；成桩后按总桩数的20%对桩身质量进行检验。监理工程师审查时认为方案时认为方案存在错误，要求施工单位改正后重新上报。</w:t>
      </w:r>
      <w:r>
        <w:rPr>
          <w:rFonts w:hint="eastAsia" w:ascii="宋体" w:hAnsi="宋体" w:eastAsia="宋体" w:cs="宋体"/>
          <w:kern w:val="0"/>
          <w:sz w:val="21"/>
          <w:szCs w:val="21"/>
        </w:rPr>
        <w:br w:type="textWrapping"/>
      </w:r>
      <w:r>
        <w:rPr>
          <w:rFonts w:hint="eastAsia" w:ascii="宋体" w:hAnsi="宋体" w:eastAsia="宋体" w:cs="宋体"/>
          <w:kern w:val="0"/>
          <w:sz w:val="21"/>
          <w:szCs w:val="21"/>
        </w:rPr>
        <w:t>地下结构施工过程中，测量单位按变形测量方案实施监测时，发现基坑周边地表出现明显裂缝，立即将此异常情况报告给施工单位。施工单位立即要求测量单位及时采取相应的检测措施，并根据观测数据制订后续防控对策。</w:t>
      </w:r>
      <w:r>
        <w:rPr>
          <w:rFonts w:hint="eastAsia" w:ascii="宋体" w:hAnsi="宋体" w:eastAsia="宋体" w:cs="宋体"/>
          <w:kern w:val="0"/>
          <w:sz w:val="21"/>
          <w:szCs w:val="21"/>
        </w:rPr>
        <w:br w:type="textWrapping"/>
      </w:r>
      <w:r>
        <w:rPr>
          <w:rFonts w:hint="eastAsia" w:ascii="宋体" w:hAnsi="宋体" w:eastAsia="宋体" w:cs="宋体"/>
          <w:kern w:val="0"/>
          <w:sz w:val="21"/>
          <w:szCs w:val="21"/>
        </w:rPr>
        <w:t>装修施工单位将地上标准层（F6~F20）划分为三个施工段组织流水施工，各施工段上均包含三个施工工序，其流水节拍如下表所示：</w:t>
      </w:r>
    </w:p>
    <w:p>
      <w:pPr>
        <w:widowControl/>
        <w:jc w:val="left"/>
        <w:rPr>
          <w:rFonts w:hint="eastAsia" w:ascii="宋体" w:hAnsi="宋体" w:eastAsia="宋体" w:cs="宋体"/>
          <w:kern w:val="0"/>
          <w:sz w:val="21"/>
          <w:szCs w:val="21"/>
        </w:rPr>
      </w:pP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drawing>
          <wp:inline distT="0" distB="0" distL="114300" distR="114300">
            <wp:extent cx="4961890" cy="1228725"/>
            <wp:effectExtent l="0" t="0" r="10160" b="9525"/>
            <wp:docPr id="14" name="图片 3" descr="46DGUGMV39C%A%5I@NHN~G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46DGUGMV39C%A%5I@NHN~GX"/>
                    <pic:cNvPicPr>
                      <a:picLocks noChangeAspect="1"/>
                    </pic:cNvPicPr>
                  </pic:nvPicPr>
                  <pic:blipFill>
                    <a:blip r:embed="rId10"/>
                    <a:stretch>
                      <a:fillRect/>
                    </a:stretch>
                  </pic:blipFill>
                  <pic:spPr>
                    <a:xfrm>
                      <a:off x="0" y="0"/>
                      <a:ext cx="4961890" cy="1228725"/>
                    </a:xfrm>
                    <a:prstGeom prst="rect">
                      <a:avLst/>
                    </a:prstGeom>
                    <a:noFill/>
                    <a:ln w="9525">
                      <a:noFill/>
                    </a:ln>
                  </pic:spPr>
                </pic:pic>
              </a:graphicData>
            </a:graphic>
          </wp:inline>
        </w:drawing>
      </w:r>
    </w:p>
    <w:p>
      <w:pPr>
        <w:widowControl/>
        <w:jc w:val="left"/>
        <w:rPr>
          <w:rFonts w:hint="eastAsia" w:ascii="宋体" w:hAnsi="宋体" w:eastAsia="宋体" w:cs="宋体"/>
          <w:sz w:val="21"/>
          <w:szCs w:val="21"/>
        </w:rPr>
      </w:pPr>
      <w:r>
        <w:rPr>
          <w:rFonts w:hint="eastAsia" w:ascii="宋体" w:hAnsi="宋体" w:eastAsia="宋体" w:cs="宋体"/>
          <w:kern w:val="0"/>
          <w:sz w:val="21"/>
          <w:szCs w:val="21"/>
        </w:rPr>
        <w:t>建设单位采购的材料进场复检结果不合格，监理工程师要求退场；因停工待料导致窝工。施工单位提出8万元费用索赔。材料重新进场施工完毕后，监理验收通过；由于该部位的特殊性，建设单位要求进行剥离检验，检验结果符合要求；剥离检验及恢复共发生费用4万元，施工单位提出4万元费用索赔。上述索赔均在要求时限内提出。数据经监理工程师核实无误。</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问题</w:t>
      </w:r>
      <w:r>
        <w:rPr>
          <w:rFonts w:hint="eastAsia" w:ascii="宋体" w:hAnsi="宋体" w:eastAsia="宋体" w:cs="宋体"/>
          <w:kern w:val="0"/>
          <w:sz w:val="21"/>
          <w:szCs w:val="21"/>
        </w:rPr>
        <w:br w:type="textWrapping"/>
      </w:r>
      <w:r>
        <w:rPr>
          <w:rFonts w:hint="eastAsia" w:ascii="宋体" w:hAnsi="宋体" w:eastAsia="宋体" w:cs="宋体"/>
          <w:kern w:val="0"/>
          <w:sz w:val="21"/>
          <w:szCs w:val="21"/>
        </w:rPr>
        <w:t>1指出桩基施工方案中的错误之处，并分别写出相应的正确做法。</w:t>
      </w:r>
      <w:r>
        <w:rPr>
          <w:rFonts w:hint="eastAsia" w:ascii="宋体" w:hAnsi="宋体" w:eastAsia="宋体" w:cs="宋体"/>
          <w:kern w:val="0"/>
          <w:sz w:val="21"/>
          <w:szCs w:val="21"/>
        </w:rPr>
        <w:br w:type="textWrapping"/>
      </w:r>
      <w:r>
        <w:rPr>
          <w:rFonts w:hint="eastAsia" w:ascii="宋体" w:hAnsi="宋体" w:eastAsia="宋体" w:cs="宋体"/>
          <w:kern w:val="0"/>
          <w:sz w:val="21"/>
          <w:szCs w:val="21"/>
        </w:rPr>
        <w:t>2变形测量发现异常情况后，第三方测量单位应及时采取哪些措施？针对变形测量，除基坑周边地表出现明显裂缝外，还有那些异常情况也应立即报告委托方？</w:t>
      </w:r>
      <w:r>
        <w:rPr>
          <w:rFonts w:hint="eastAsia" w:ascii="宋体" w:hAnsi="宋体" w:eastAsia="宋体" w:cs="宋体"/>
          <w:kern w:val="0"/>
          <w:sz w:val="21"/>
          <w:szCs w:val="21"/>
        </w:rPr>
        <w:br w:type="textWrapping"/>
      </w:r>
      <w:r>
        <w:rPr>
          <w:rFonts w:hint="eastAsia" w:ascii="宋体" w:hAnsi="宋体" w:eastAsia="宋体" w:cs="宋体"/>
          <w:kern w:val="0"/>
          <w:sz w:val="21"/>
          <w:szCs w:val="21"/>
        </w:rPr>
        <w:drawing>
          <wp:inline distT="0" distB="0" distL="114300" distR="114300">
            <wp:extent cx="5514975" cy="1800225"/>
            <wp:effectExtent l="0" t="0" r="9525" b="9525"/>
            <wp:docPr id="6" name="图片 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7"/>
                    <pic:cNvPicPr>
                      <a:picLocks noChangeAspect="1"/>
                    </pic:cNvPicPr>
                  </pic:nvPicPr>
                  <pic:blipFill>
                    <a:blip r:embed="rId11"/>
                    <a:stretch>
                      <a:fillRect/>
                    </a:stretch>
                  </pic:blipFill>
                  <pic:spPr>
                    <a:xfrm>
                      <a:off x="0" y="0"/>
                      <a:ext cx="5514975" cy="1800225"/>
                    </a:xfrm>
                    <a:prstGeom prst="rect">
                      <a:avLst/>
                    </a:prstGeom>
                    <a:noFill/>
                    <a:ln w="9525">
                      <a:noFill/>
                    </a:ln>
                  </pic:spPr>
                </pic:pic>
              </a:graphicData>
            </a:graphic>
          </wp:inline>
        </w:drawing>
      </w:r>
      <w:r>
        <w:rPr>
          <w:rFonts w:hint="eastAsia" w:ascii="宋体" w:hAnsi="宋体" w:eastAsia="宋体" w:cs="宋体"/>
          <w:kern w:val="0"/>
          <w:sz w:val="21"/>
          <w:szCs w:val="21"/>
        </w:rPr>
        <w:br w:type="textWrapping"/>
      </w:r>
      <w:r>
        <w:rPr>
          <w:rFonts w:hint="eastAsia" w:ascii="宋体" w:hAnsi="宋体" w:eastAsia="宋体" w:cs="宋体"/>
          <w:kern w:val="0"/>
          <w:sz w:val="21"/>
          <w:szCs w:val="21"/>
        </w:rPr>
        <w:t>3参照下图图示，在答题卡上相应位置绘制标准层装修的流水施工横道图</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4 施工单位提出的两项索赔是否成立？说明理由。</w:t>
      </w:r>
      <w:r>
        <w:rPr>
          <w:rFonts w:hint="eastAsia" w:ascii="宋体" w:hAnsi="宋体" w:eastAsia="宋体" w:cs="宋体"/>
          <w:kern w:val="0"/>
          <w:sz w:val="21"/>
          <w:szCs w:val="21"/>
        </w:rPr>
        <w:br w:type="textWrapping"/>
      </w:r>
      <w:r>
        <w:rPr>
          <w:rFonts w:hint="eastAsia" w:ascii="宋体" w:hAnsi="宋体" w:eastAsia="宋体" w:cs="宋体"/>
          <w:kern w:val="0"/>
          <w:sz w:val="21"/>
          <w:szCs w:val="21"/>
        </w:rPr>
        <w:t>参考答案</w:t>
      </w:r>
      <w:r>
        <w:rPr>
          <w:rFonts w:hint="eastAsia" w:ascii="宋体" w:hAnsi="宋体" w:eastAsia="宋体" w:cs="宋体"/>
          <w:kern w:val="0"/>
          <w:sz w:val="21"/>
          <w:szCs w:val="21"/>
        </w:rPr>
        <w:br w:type="textWrapping"/>
      </w:r>
      <w:r>
        <w:rPr>
          <w:rFonts w:hint="eastAsia" w:ascii="宋体" w:hAnsi="宋体" w:eastAsia="宋体" w:cs="宋体"/>
          <w:kern w:val="0"/>
          <w:sz w:val="21"/>
          <w:szCs w:val="21"/>
        </w:rPr>
        <w:t>1（估计4分）</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（1）不妥之处一：灌注时桩顶混凝土面超过设计标高500mm。（估计1分）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正确做法：水下灌注时桩顶混凝土面标高至少耍比设计标高超灌0.8~1.0m。（估计1分）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（2）不妥之处二：成桩后按总桩数的20%对桩身质量进行检验。（估计1分）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正确做法：对设计等级为甲级或地质条件复杂，成桩质量可靠性低的灌注桩，抽检数量不应少于总数的30%。（估计1分）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2 (1)（估计2分）第三方测量单位必须互即报告委托方（或施工单位）（估计1分），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同时应及时增加观测次数或调整变形测量方案（估计1分）。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(2)（估计4分，每项1分，至少4项）</w:t>
      </w:r>
      <w:r>
        <w:rPr>
          <w:rFonts w:hint="eastAsia" w:ascii="宋体" w:hAnsi="宋体" w:eastAsia="宋体" w:cs="宋体"/>
          <w:kern w:val="0"/>
          <w:sz w:val="21"/>
          <w:szCs w:val="21"/>
        </w:rPr>
        <w:br w:type="textWrapping"/>
      </w:r>
      <w:r>
        <w:rPr>
          <w:rFonts w:hint="eastAsia" w:ascii="宋体" w:hAnsi="宋体" w:eastAsia="宋体" w:cs="宋体"/>
          <w:kern w:val="0"/>
          <w:sz w:val="21"/>
          <w:szCs w:val="21"/>
        </w:rPr>
        <w:t>1)变形量出现异常变化；2）变形速率出现异常变化</w:t>
      </w:r>
      <w:r>
        <w:rPr>
          <w:rFonts w:hint="eastAsia" w:ascii="宋体" w:hAnsi="宋体" w:eastAsia="宋体" w:cs="宋体"/>
          <w:kern w:val="0"/>
          <w:sz w:val="21"/>
          <w:szCs w:val="21"/>
        </w:rPr>
        <w:br w:type="textWrapping"/>
      </w:r>
      <w:r>
        <w:rPr>
          <w:rFonts w:hint="eastAsia" w:ascii="宋体" w:hAnsi="宋体" w:eastAsia="宋体" w:cs="宋体"/>
          <w:kern w:val="0"/>
          <w:sz w:val="21"/>
          <w:szCs w:val="21"/>
        </w:rPr>
        <w:t>3)变形量达到或超出预警值；</w:t>
      </w:r>
      <w:r>
        <w:rPr>
          <w:rFonts w:hint="eastAsia" w:ascii="宋体" w:hAnsi="宋体" w:eastAsia="宋体" w:cs="宋体"/>
          <w:kern w:val="0"/>
          <w:sz w:val="21"/>
          <w:szCs w:val="21"/>
        </w:rPr>
        <w:br w:type="textWrapping"/>
      </w:r>
      <w:r>
        <w:rPr>
          <w:rFonts w:hint="eastAsia" w:ascii="宋体" w:hAnsi="宋体" w:eastAsia="宋体" w:cs="宋体"/>
          <w:kern w:val="0"/>
          <w:sz w:val="21"/>
          <w:szCs w:val="21"/>
        </w:rPr>
        <w:t>4)周边出现塌陷滑坡情况；5)开挖面出现塌陷滑坡情况；</w:t>
      </w:r>
      <w:r>
        <w:rPr>
          <w:rFonts w:hint="eastAsia" w:ascii="宋体" w:hAnsi="宋体" w:eastAsia="宋体" w:cs="宋体"/>
          <w:kern w:val="0"/>
          <w:sz w:val="21"/>
          <w:szCs w:val="21"/>
        </w:rPr>
        <w:br w:type="textWrapping"/>
      </w:r>
      <w:r>
        <w:rPr>
          <w:rFonts w:hint="eastAsia" w:ascii="宋体" w:hAnsi="宋体" w:eastAsia="宋体" w:cs="宋体"/>
          <w:kern w:val="0"/>
          <w:sz w:val="21"/>
          <w:szCs w:val="21"/>
        </w:rPr>
        <w:t>6)建筑本身周边建筑及地表出现异常；</w:t>
      </w:r>
      <w:r>
        <w:rPr>
          <w:rFonts w:hint="eastAsia" w:ascii="宋体" w:hAnsi="宋体" w:eastAsia="宋体" w:cs="宋体"/>
          <w:kern w:val="0"/>
          <w:sz w:val="21"/>
          <w:szCs w:val="21"/>
        </w:rPr>
        <w:br w:type="textWrapping"/>
      </w:r>
      <w:r>
        <w:rPr>
          <w:rFonts w:hint="eastAsia" w:ascii="宋体" w:hAnsi="宋体" w:eastAsia="宋体" w:cs="宋体"/>
          <w:kern w:val="0"/>
          <w:sz w:val="21"/>
          <w:szCs w:val="21"/>
        </w:rPr>
        <w:t>7)自于地震、暴雨、冻融等自然灾害引起的其他异常变形情况。</w:t>
      </w:r>
    </w:p>
    <w:p>
      <w:pPr>
        <w:widowControl/>
        <w:jc w:val="left"/>
        <w:rPr>
          <w:rFonts w:hint="eastAsia" w:ascii="宋体" w:hAnsi="宋体" w:eastAsia="宋体" w:cs="宋体"/>
          <w:kern w:val="0"/>
          <w:sz w:val="21"/>
          <w:szCs w:val="21"/>
        </w:rPr>
      </w:pP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3 （估计6分：图对6分；计算工期正确，图没有画对估计2分）</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1）累加数列求和</w:t>
      </w:r>
    </w:p>
    <w:p>
      <w:pPr>
        <w:widowControl/>
        <w:numPr>
          <w:ilvl w:val="0"/>
          <w:numId w:val="2"/>
        </w:numPr>
        <w:jc w:val="left"/>
        <w:rPr>
          <w:rFonts w:hint="eastAsia" w:ascii="宋体" w:hAnsi="宋体" w:eastAsia="宋体" w:cs="宋体"/>
          <w:kern w:val="0"/>
          <w:sz w:val="21"/>
          <w:szCs w:val="21"/>
        </w:rPr>
      </w:pPr>
      <w:r>
        <w:rPr>
          <w:rFonts w:hint="eastAsia" w:ascii="宋体" w:hAnsi="宋体" w:eastAsia="宋体" w:cs="宋体"/>
          <w:kern w:val="0"/>
          <w:sz w:val="21"/>
          <w:szCs w:val="21"/>
        </w:rPr>
        <w:t>错位相减取大值</w:t>
      </w:r>
    </w:p>
    <w:p>
      <w:pPr>
        <w:widowControl/>
        <w:numPr>
          <w:ilvl w:val="0"/>
          <w:numId w:val="2"/>
        </w:numPr>
        <w:jc w:val="left"/>
        <w:rPr>
          <w:rFonts w:hint="eastAsia" w:ascii="宋体" w:hAnsi="宋体" w:eastAsia="宋体" w:cs="宋体"/>
          <w:kern w:val="0"/>
          <w:sz w:val="21"/>
          <w:szCs w:val="21"/>
        </w:rPr>
      </w:pPr>
      <w:r>
        <w:rPr>
          <w:rFonts w:hint="eastAsia" w:ascii="宋体" w:hAnsi="宋体" w:eastAsia="宋体" w:cs="宋体"/>
          <w:kern w:val="0"/>
          <w:sz w:val="21"/>
          <w:szCs w:val="21"/>
        </w:rPr>
        <w:t>计算工期T=5+4+12=21周</w:t>
      </w:r>
    </w:p>
    <w:p>
      <w:pPr>
        <w:widowControl/>
        <w:numPr>
          <w:ilvl w:val="0"/>
          <w:numId w:val="2"/>
        </w:numPr>
        <w:jc w:val="left"/>
        <w:rPr>
          <w:rFonts w:hint="eastAsia" w:ascii="宋体" w:hAnsi="宋体" w:eastAsia="宋体" w:cs="宋体"/>
          <w:kern w:val="0"/>
          <w:sz w:val="21"/>
          <w:szCs w:val="21"/>
        </w:rPr>
      </w:pPr>
      <w:r>
        <w:rPr>
          <w:rFonts w:hint="eastAsia" w:ascii="宋体" w:hAnsi="宋体" w:eastAsia="宋体" w:cs="宋体"/>
          <w:kern w:val="0"/>
          <w:sz w:val="21"/>
          <w:szCs w:val="21"/>
        </w:rPr>
        <w:t>绘制横道图</w:t>
      </w:r>
    </w:p>
    <w:p>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br w:type="textWrapping"/>
      </w:r>
      <w:r>
        <w:rPr>
          <w:rFonts w:hint="eastAsia" w:ascii="宋体" w:hAnsi="宋体" w:eastAsia="宋体" w:cs="宋体"/>
          <w:kern w:val="0"/>
          <w:sz w:val="21"/>
          <w:szCs w:val="21"/>
        </w:rPr>
        <w:drawing>
          <wp:inline distT="0" distB="0" distL="114300" distR="114300">
            <wp:extent cx="5543550" cy="1943100"/>
            <wp:effectExtent l="0" t="0" r="0" b="0"/>
            <wp:docPr id="15" name="图片 5"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descr="IMG_258"/>
                    <pic:cNvPicPr>
                      <a:picLocks noChangeAspect="1"/>
                    </pic:cNvPicPr>
                  </pic:nvPicPr>
                  <pic:blipFill>
                    <a:blip r:embed="rId12"/>
                    <a:stretch>
                      <a:fillRect/>
                    </a:stretch>
                  </pic:blipFill>
                  <pic:spPr>
                    <a:xfrm>
                      <a:off x="0" y="0"/>
                      <a:ext cx="5543550" cy="1943100"/>
                    </a:xfrm>
                    <a:prstGeom prst="rect">
                      <a:avLst/>
                    </a:prstGeom>
                    <a:noFill/>
                    <a:ln w="9525">
                      <a:noFill/>
                    </a:ln>
                  </pic:spPr>
                </pic:pic>
              </a:graphicData>
            </a:graphic>
          </wp:inline>
        </w:drawing>
      </w:r>
      <w:r>
        <w:rPr>
          <w:rFonts w:hint="eastAsia" w:ascii="宋体" w:hAnsi="宋体" w:eastAsia="宋体" w:cs="宋体"/>
          <w:kern w:val="0"/>
          <w:sz w:val="21"/>
          <w:szCs w:val="21"/>
        </w:rPr>
        <w:br w:type="textWrapping"/>
      </w:r>
      <w:r>
        <w:rPr>
          <w:rFonts w:hint="eastAsia" w:ascii="宋体" w:hAnsi="宋体" w:eastAsia="宋体" w:cs="宋体"/>
          <w:kern w:val="0"/>
          <w:sz w:val="21"/>
          <w:szCs w:val="21"/>
        </w:rPr>
        <w:t>4（估计4分）</w:t>
      </w:r>
    </w:p>
    <w:p>
      <w:pPr>
        <w:widowControl/>
        <w:jc w:val="left"/>
        <w:rPr>
          <w:rFonts w:hint="eastAsia" w:ascii="宋体" w:hAnsi="宋体" w:eastAsia="宋体" w:cs="宋体"/>
          <w:sz w:val="21"/>
          <w:szCs w:val="21"/>
        </w:rPr>
      </w:pPr>
      <w:r>
        <w:rPr>
          <w:rFonts w:hint="eastAsia" w:ascii="宋体" w:hAnsi="宋体" w:eastAsia="宋体" w:cs="宋体"/>
          <w:kern w:val="0"/>
          <w:sz w:val="21"/>
          <w:szCs w:val="21"/>
        </w:rPr>
        <w:t>（1）因停工待料造成的导致的窝工，施工单位提出8万元费用索赔成立。（估计1分）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理由：材料由建设单位采购，由建设单位负责，停工待料导致的窝工应由建设单位承担。（估计1分）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（2）剥离检验及恢复费用索赔成立。（估计1分）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理由：建设单位提出剥离检验，施工单位无条件接受，检测结果符合要求，检测费用应由发建设单位承担。（估计1分）</w:t>
      </w:r>
      <w:r>
        <w:rPr>
          <w:rFonts w:hint="eastAsia" w:ascii="宋体" w:hAnsi="宋体" w:eastAsia="宋体" w:cs="宋体"/>
          <w:kern w:val="0"/>
          <w:sz w:val="21"/>
          <w:szCs w:val="21"/>
        </w:rPr>
        <w:br w:type="textWrapping"/>
      </w:r>
    </w:p>
    <w:p>
      <w:pPr>
        <w:widowControl/>
        <w:jc w:val="left"/>
        <w:rPr>
          <w:rFonts w:hint="eastAsia" w:ascii="宋体" w:hAnsi="宋体" w:eastAsia="宋体" w:cs="宋体"/>
          <w:kern w:val="0"/>
          <w:sz w:val="21"/>
          <w:szCs w:val="21"/>
        </w:rPr>
      </w:pPr>
      <w:r>
        <w:rPr>
          <w:rFonts w:hint="eastAsia" w:ascii="宋体" w:hAnsi="宋体" w:eastAsia="宋体" w:cs="宋体"/>
          <w:b/>
          <w:sz w:val="21"/>
          <w:szCs w:val="21"/>
        </w:rPr>
        <w:t>案例二</w:t>
      </w:r>
      <w:r>
        <w:rPr>
          <w:rFonts w:hint="eastAsia" w:ascii="宋体" w:hAnsi="宋体" w:eastAsia="宋体" w:cs="宋体"/>
          <w:b/>
          <w:sz w:val="21"/>
          <w:szCs w:val="21"/>
        </w:rPr>
        <w:br w:type="textWrapping"/>
      </w:r>
      <w:r>
        <w:rPr>
          <w:rFonts w:hint="eastAsia" w:ascii="宋体" w:hAnsi="宋体" w:eastAsia="宋体" w:cs="宋体"/>
          <w:sz w:val="21"/>
          <w:szCs w:val="21"/>
        </w:rPr>
        <w:t>背景资料</w:t>
      </w:r>
      <w:r>
        <w:rPr>
          <w:rFonts w:hint="eastAsia" w:ascii="宋体" w:hAnsi="宋体" w:eastAsia="宋体" w:cs="宋体"/>
          <w:sz w:val="21"/>
          <w:szCs w:val="21"/>
        </w:rPr>
        <w:br w:type="textWrapping"/>
      </w:r>
      <w:r>
        <w:rPr>
          <w:rFonts w:hint="eastAsia" w:ascii="宋体" w:hAnsi="宋体" w:eastAsia="宋体" w:cs="宋体"/>
          <w:sz w:val="21"/>
          <w:szCs w:val="21"/>
        </w:rPr>
        <w:t>某新建体育馆工程，建筑面积约2300㎡，现浇钢筋混凝土结构，钢结构网架屋盖，地下一层，地上四层，地下室顶板设计有后张法预应力混凝土梁。</w:t>
      </w:r>
      <w:r>
        <w:rPr>
          <w:rFonts w:hint="eastAsia" w:ascii="宋体" w:hAnsi="宋体" w:eastAsia="宋体" w:cs="宋体"/>
          <w:sz w:val="21"/>
          <w:szCs w:val="21"/>
        </w:rPr>
        <w:br w:type="textWrapping"/>
      </w:r>
      <w:r>
        <w:rPr>
          <w:rFonts w:hint="eastAsia" w:ascii="宋体" w:hAnsi="宋体" w:eastAsia="宋体" w:cs="宋体"/>
          <w:sz w:val="21"/>
          <w:szCs w:val="21"/>
        </w:rPr>
        <w:t>地下室顶板同条件养护试件强度达到设计要求时候，施工单位现场生产经理立即向监理工程师口头申请拆除地下室顶板模板，监理工程师同意后，现场将地下室顶板及支架全部拆除。</w:t>
      </w:r>
      <w:r>
        <w:rPr>
          <w:rFonts w:hint="eastAsia" w:ascii="宋体" w:hAnsi="宋体" w:eastAsia="宋体" w:cs="宋体"/>
          <w:sz w:val="21"/>
          <w:szCs w:val="21"/>
        </w:rPr>
        <w:br w:type="textWrapping"/>
      </w:r>
      <w:r>
        <w:rPr>
          <w:rFonts w:hint="eastAsia" w:ascii="宋体" w:hAnsi="宋体" w:eastAsia="宋体" w:cs="宋体"/>
          <w:sz w:val="21"/>
          <w:szCs w:val="21"/>
        </w:rPr>
        <w:t>“两年专项治理行动”检查时，二层混凝土结构经回弹-取芯法检验，其强度不满足设计要求，经设计单位验算，需对二层结构进行加固处理，造成直接经济损失300余万元，工程质量事故发生后，现场有关人员立即向本单位负责人报告，在规定时间内逐级上报至市（设区）级人民政府住房和城乡建设主管部门，施工单位提交的质量事故报告内容包括：</w:t>
      </w:r>
      <w:r>
        <w:rPr>
          <w:rFonts w:hint="eastAsia" w:ascii="宋体" w:hAnsi="宋体" w:eastAsia="宋体" w:cs="宋体"/>
          <w:sz w:val="21"/>
          <w:szCs w:val="21"/>
        </w:rPr>
        <w:br w:type="textWrapping"/>
      </w:r>
      <w:r>
        <w:rPr>
          <w:rFonts w:hint="eastAsia" w:ascii="宋体" w:hAnsi="宋体" w:eastAsia="宋体" w:cs="宋体"/>
          <w:sz w:val="21"/>
          <w:szCs w:val="21"/>
        </w:rPr>
        <w:t>（1）事故发生的时间、地点、工程项目名称；</w:t>
      </w:r>
      <w:r>
        <w:rPr>
          <w:rFonts w:hint="eastAsia" w:ascii="宋体" w:hAnsi="宋体" w:eastAsia="宋体" w:cs="宋体"/>
          <w:sz w:val="21"/>
          <w:szCs w:val="21"/>
        </w:rPr>
        <w:br w:type="textWrapping"/>
      </w:r>
      <w:r>
        <w:rPr>
          <w:rFonts w:hint="eastAsia" w:ascii="宋体" w:hAnsi="宋体" w:eastAsia="宋体" w:cs="宋体"/>
          <w:sz w:val="21"/>
          <w:szCs w:val="21"/>
        </w:rPr>
        <w:t>（2）事故发生的简要经过，无伤亡；</w:t>
      </w:r>
      <w:r>
        <w:rPr>
          <w:rFonts w:hint="eastAsia" w:ascii="宋体" w:hAnsi="宋体" w:eastAsia="宋体" w:cs="宋体"/>
          <w:sz w:val="21"/>
          <w:szCs w:val="21"/>
        </w:rPr>
        <w:br w:type="textWrapping"/>
      </w:r>
      <w:r>
        <w:rPr>
          <w:rFonts w:hint="eastAsia" w:ascii="宋体" w:hAnsi="宋体" w:eastAsia="宋体" w:cs="宋体"/>
          <w:sz w:val="21"/>
          <w:szCs w:val="21"/>
        </w:rPr>
        <w:t>（3）事故发生后采取的措施及事故控制情况；</w:t>
      </w:r>
      <w:r>
        <w:rPr>
          <w:rFonts w:hint="eastAsia" w:ascii="宋体" w:hAnsi="宋体" w:eastAsia="宋体" w:cs="宋体"/>
          <w:sz w:val="21"/>
          <w:szCs w:val="21"/>
        </w:rPr>
        <w:br w:type="textWrapping"/>
      </w:r>
      <w:r>
        <w:rPr>
          <w:rFonts w:hint="eastAsia" w:ascii="宋体" w:hAnsi="宋体" w:eastAsia="宋体" w:cs="宋体"/>
          <w:sz w:val="21"/>
          <w:szCs w:val="21"/>
        </w:rPr>
        <w:t>（4）事故报告单位。</w:t>
      </w:r>
      <w:r>
        <w:rPr>
          <w:rFonts w:hint="eastAsia" w:ascii="宋体" w:hAnsi="宋体" w:eastAsia="宋体" w:cs="宋体"/>
          <w:sz w:val="21"/>
          <w:szCs w:val="21"/>
        </w:rPr>
        <w:br w:type="textWrapping"/>
      </w:r>
      <w:r>
        <w:rPr>
          <w:rFonts w:hint="eastAsia" w:ascii="宋体" w:hAnsi="宋体" w:eastAsia="宋体" w:cs="宋体"/>
          <w:sz w:val="21"/>
          <w:szCs w:val="21"/>
        </w:rPr>
        <w:t>屋盖网架采用Q390GJ钢，因钢结构制作单位首次采用该材料，施工前，监理工程师要求其首次采用Q390GJ钢及相关的接头形式、焊接工艺参数、预热和后热措施等焊接参数组合条件进行焊接工艺评定。</w:t>
      </w:r>
      <w:r>
        <w:rPr>
          <w:rFonts w:hint="eastAsia" w:ascii="宋体" w:hAnsi="宋体" w:eastAsia="宋体" w:cs="宋体"/>
          <w:sz w:val="21"/>
          <w:szCs w:val="21"/>
        </w:rPr>
        <w:br w:type="textWrapping"/>
      </w:r>
      <w:r>
        <w:rPr>
          <w:rFonts w:hint="eastAsia" w:ascii="宋体" w:hAnsi="宋体" w:eastAsia="宋体" w:cs="宋体"/>
          <w:sz w:val="21"/>
          <w:szCs w:val="21"/>
        </w:rPr>
        <w:t>填充墙砌体采用单排孔轻轻骨料混凝土小砌块，专用小砌块砂浆建筑，现场检查中发现：进场的小砌块产品期达到21d后，即开始浇水湿润，待小砌块表面浮水后，开始砌筑施工：砌筑时将小砌块的底面朝上反砌于墙上，小砌块的塔接长度为块体长度的1/3；砌体的砂浆饱满度要求为：水平灰缝90%以上，竖向灰缝85%以上；墙体每天砌筑高度为1.5m，填充墙砌筑7d后进行顶砌施工；为施工方便，在部分墙体上留置了净宽度为1.2m的临时施工洞口，监理工程师要求对错误之处进行整改。</w:t>
      </w:r>
      <w:r>
        <w:rPr>
          <w:rFonts w:hint="eastAsia" w:ascii="宋体" w:hAnsi="宋体" w:eastAsia="宋体" w:cs="宋体"/>
          <w:sz w:val="21"/>
          <w:szCs w:val="21"/>
        </w:rPr>
        <w:br w:type="textWrapping"/>
      </w:r>
      <w:r>
        <w:rPr>
          <w:rFonts w:hint="eastAsia" w:ascii="宋体" w:hAnsi="宋体" w:eastAsia="宋体" w:cs="宋体"/>
          <w:sz w:val="21"/>
          <w:szCs w:val="21"/>
        </w:rPr>
        <w:t>问题：</w:t>
      </w:r>
      <w:r>
        <w:rPr>
          <w:rFonts w:hint="eastAsia" w:ascii="宋体" w:hAnsi="宋体" w:eastAsia="宋体" w:cs="宋体"/>
          <w:sz w:val="21"/>
          <w:szCs w:val="21"/>
        </w:rPr>
        <w:br w:type="textWrapping"/>
      </w:r>
      <w:r>
        <w:rPr>
          <w:rFonts w:hint="eastAsia" w:ascii="宋体" w:hAnsi="宋体" w:eastAsia="宋体" w:cs="宋体"/>
          <w:sz w:val="21"/>
          <w:szCs w:val="21"/>
        </w:rPr>
        <w:t>1.监理工程师同意地下室顶板拆模是否正确？背景资料中地下室顶板预应力梁拆除底模及支架的前置条件有哪些？</w:t>
      </w:r>
      <w:r>
        <w:rPr>
          <w:rFonts w:hint="eastAsia" w:ascii="宋体" w:hAnsi="宋体" w:eastAsia="宋体" w:cs="宋体"/>
          <w:sz w:val="21"/>
          <w:szCs w:val="21"/>
        </w:rPr>
        <w:br w:type="textWrapping"/>
      </w:r>
      <w:r>
        <w:rPr>
          <w:rFonts w:hint="eastAsia" w:ascii="宋体" w:hAnsi="宋体" w:eastAsia="宋体" w:cs="宋体"/>
          <w:sz w:val="21"/>
          <w:szCs w:val="21"/>
        </w:rPr>
        <w:t>2.本题中的质量事故属于哪个等级？指出事故上报的不妥之处，质量事故报告还应包括哪些内容？</w:t>
      </w:r>
      <w:r>
        <w:rPr>
          <w:rFonts w:hint="eastAsia" w:ascii="宋体" w:hAnsi="宋体" w:eastAsia="宋体" w:cs="宋体"/>
          <w:sz w:val="21"/>
          <w:szCs w:val="21"/>
        </w:rPr>
        <w:br w:type="textWrapping"/>
      </w:r>
      <w:r>
        <w:rPr>
          <w:rFonts w:hint="eastAsia" w:ascii="宋体" w:hAnsi="宋体" w:eastAsia="宋体" w:cs="宋体"/>
          <w:sz w:val="21"/>
          <w:szCs w:val="21"/>
        </w:rPr>
        <w:t>3.除背景资料已明确的焊接参数组合条件外，还有哪些参数的组合条件也需要进行焊接工艺评定？</w:t>
      </w:r>
      <w:r>
        <w:rPr>
          <w:rFonts w:hint="eastAsia" w:ascii="宋体" w:hAnsi="宋体" w:eastAsia="宋体" w:cs="宋体"/>
          <w:sz w:val="21"/>
          <w:szCs w:val="21"/>
        </w:rPr>
        <w:br w:type="textWrapping"/>
      </w:r>
      <w:r>
        <w:rPr>
          <w:rFonts w:hint="eastAsia" w:ascii="宋体" w:hAnsi="宋体" w:eastAsia="宋体" w:cs="宋体"/>
          <w:sz w:val="21"/>
          <w:szCs w:val="21"/>
        </w:rPr>
        <w:t>4.针对背景资料中填充墙砌体施工的不妥之处，写出相应的正确做法。</w:t>
      </w:r>
      <w:r>
        <w:rPr>
          <w:rFonts w:hint="eastAsia" w:ascii="宋体" w:hAnsi="宋体" w:eastAsia="宋体" w:cs="宋体"/>
          <w:sz w:val="21"/>
          <w:szCs w:val="21"/>
        </w:rPr>
        <w:br w:type="textWrapping"/>
      </w:r>
      <w:r>
        <w:rPr>
          <w:rFonts w:hint="eastAsia" w:ascii="宋体" w:hAnsi="宋体" w:eastAsia="宋体" w:cs="宋体"/>
          <w:sz w:val="21"/>
          <w:szCs w:val="21"/>
        </w:rPr>
        <w:t>参考答案：</w:t>
      </w:r>
      <w:r>
        <w:rPr>
          <w:rFonts w:hint="eastAsia" w:ascii="宋体" w:hAnsi="宋体" w:eastAsia="宋体" w:cs="宋体"/>
          <w:sz w:val="21"/>
          <w:szCs w:val="21"/>
        </w:rPr>
        <w:br w:type="textWrapping"/>
      </w:r>
      <w:r>
        <w:rPr>
          <w:rFonts w:hint="eastAsia" w:ascii="宋体" w:hAnsi="宋体" w:eastAsia="宋体" w:cs="宋体"/>
          <w:sz w:val="21"/>
          <w:szCs w:val="21"/>
        </w:rPr>
        <w:t>1、</w:t>
      </w:r>
      <w:r>
        <w:rPr>
          <w:rFonts w:hint="eastAsia" w:ascii="宋体" w:hAnsi="宋体" w:eastAsia="宋体" w:cs="宋体"/>
          <w:kern w:val="0"/>
          <w:sz w:val="21"/>
          <w:szCs w:val="21"/>
        </w:rPr>
        <w:t>（估计4分）</w:t>
      </w:r>
    </w:p>
    <w:p>
      <w:pPr>
        <w:pStyle w:val="7"/>
        <w:widowControl/>
        <w:rPr>
          <w:rFonts w:hint="eastAsia" w:ascii="宋体" w:hAnsi="宋体" w:eastAsia="宋体" w:cs="宋体"/>
          <w:sz w:val="21"/>
          <w:szCs w:val="21"/>
        </w:rPr>
      </w:pPr>
      <w:r>
        <w:rPr>
          <w:rFonts w:hint="eastAsia" w:ascii="宋体" w:hAnsi="宋体" w:eastAsia="宋体" w:cs="宋体"/>
          <w:sz w:val="21"/>
          <w:szCs w:val="21"/>
        </w:rPr>
        <w:t>(1)不正确（估计1分）(后张法预应力混凝土梁底模张拉后；口头应为书面）</w:t>
      </w:r>
      <w:r>
        <w:rPr>
          <w:rFonts w:hint="eastAsia" w:ascii="宋体" w:hAnsi="宋体" w:eastAsia="宋体" w:cs="宋体"/>
          <w:sz w:val="21"/>
          <w:szCs w:val="21"/>
        </w:rPr>
        <w:br w:type="textWrapping"/>
      </w:r>
      <w:r>
        <w:rPr>
          <w:rFonts w:hint="eastAsia" w:ascii="宋体" w:hAnsi="宋体" w:eastAsia="宋体" w:cs="宋体"/>
          <w:sz w:val="21"/>
          <w:szCs w:val="21"/>
        </w:rPr>
        <w:t>（2）前置条件（估计3分）：1）底模应该在预应力张拉后拆除；（估计1分）</w:t>
      </w:r>
      <w:r>
        <w:rPr>
          <w:rFonts w:hint="eastAsia" w:ascii="宋体" w:hAnsi="宋体" w:eastAsia="宋体" w:cs="宋体"/>
          <w:sz w:val="21"/>
          <w:szCs w:val="21"/>
        </w:rPr>
        <w:br w:type="textWrapping"/>
      </w:r>
      <w:r>
        <w:rPr>
          <w:rFonts w:hint="eastAsia" w:ascii="宋体" w:hAnsi="宋体" w:eastAsia="宋体" w:cs="宋体"/>
          <w:sz w:val="21"/>
          <w:szCs w:val="21"/>
        </w:rPr>
        <w:t>2）底膜及支架拆除时的混凝土强度应符合同条件养护试件的强度要求；（估计1分）</w:t>
      </w:r>
      <w:r>
        <w:rPr>
          <w:rFonts w:hint="eastAsia" w:ascii="宋体" w:hAnsi="宋体" w:eastAsia="宋体" w:cs="宋体"/>
          <w:sz w:val="21"/>
          <w:szCs w:val="21"/>
        </w:rPr>
        <w:br w:type="textWrapping"/>
      </w:r>
      <w:r>
        <w:rPr>
          <w:rFonts w:hint="eastAsia" w:ascii="宋体" w:hAnsi="宋体" w:eastAsia="宋体" w:cs="宋体"/>
          <w:sz w:val="21"/>
          <w:szCs w:val="21"/>
        </w:rPr>
        <w:t>3）经过项目技术负责人的批准；（估计1分）</w:t>
      </w:r>
      <w:r>
        <w:rPr>
          <w:rFonts w:hint="eastAsia" w:ascii="宋体" w:hAnsi="宋体" w:eastAsia="宋体" w:cs="宋体"/>
          <w:sz w:val="21"/>
          <w:szCs w:val="21"/>
        </w:rPr>
        <w:br w:type="textWrapping"/>
      </w:r>
      <w:r>
        <w:rPr>
          <w:rFonts w:hint="eastAsia" w:ascii="宋体" w:hAnsi="宋体" w:eastAsia="宋体" w:cs="宋体"/>
          <w:sz w:val="21"/>
          <w:szCs w:val="21"/>
        </w:rPr>
        <w:br w:type="textWrapping"/>
      </w:r>
      <w:r>
        <w:rPr>
          <w:rFonts w:hint="eastAsia" w:ascii="宋体" w:hAnsi="宋体" w:eastAsia="宋体" w:cs="宋体"/>
          <w:sz w:val="21"/>
          <w:szCs w:val="21"/>
        </w:rPr>
        <w:t>2、（估计5分）（1）本质量事故属于一般事故（估计1分）</w:t>
      </w:r>
      <w:r>
        <w:rPr>
          <w:rFonts w:hint="eastAsia" w:ascii="宋体" w:hAnsi="宋体" w:eastAsia="宋体" w:cs="宋体"/>
          <w:sz w:val="21"/>
          <w:szCs w:val="21"/>
        </w:rPr>
        <w:br w:type="textWrapping"/>
      </w:r>
      <w:r>
        <w:rPr>
          <w:rFonts w:hint="eastAsia" w:ascii="宋体" w:hAnsi="宋体" w:eastAsia="宋体" w:cs="宋体"/>
          <w:sz w:val="21"/>
          <w:szCs w:val="21"/>
        </w:rPr>
        <w:t>（2）（估计2分）</w:t>
      </w:r>
    </w:p>
    <w:p>
      <w:pPr>
        <w:pStyle w:val="7"/>
        <w:widowControl/>
        <w:numPr>
          <w:ilvl w:val="0"/>
          <w:numId w:val="3"/>
        </w:numPr>
        <w:rPr>
          <w:rFonts w:hint="eastAsia" w:ascii="宋体" w:hAnsi="宋体" w:eastAsia="宋体" w:cs="宋体"/>
          <w:sz w:val="21"/>
          <w:szCs w:val="21"/>
        </w:rPr>
      </w:pPr>
      <w:r>
        <w:rPr>
          <w:rFonts w:hint="eastAsia" w:ascii="宋体" w:hAnsi="宋体" w:eastAsia="宋体" w:cs="宋体"/>
          <w:sz w:val="21"/>
          <w:szCs w:val="21"/>
        </w:rPr>
        <w:t>不妥一：现场有关人员立即向本单位负责人报告。（估计1分）</w:t>
      </w:r>
      <w:r>
        <w:rPr>
          <w:rFonts w:hint="eastAsia" w:ascii="宋体" w:hAnsi="宋体" w:eastAsia="宋体" w:cs="宋体"/>
          <w:sz w:val="21"/>
          <w:szCs w:val="21"/>
        </w:rPr>
        <w:br w:type="textWrapping"/>
      </w:r>
      <w:r>
        <w:rPr>
          <w:rFonts w:hint="eastAsia" w:ascii="宋体" w:hAnsi="宋体" w:eastAsia="宋体" w:cs="宋体"/>
          <w:sz w:val="21"/>
          <w:szCs w:val="21"/>
        </w:rPr>
        <w:t>正确做法：现场有关人员应立即向工程建设单位负责人报告。</w:t>
      </w:r>
      <w:r>
        <w:rPr>
          <w:rFonts w:hint="eastAsia" w:ascii="宋体" w:hAnsi="宋体" w:eastAsia="宋体" w:cs="宋体"/>
          <w:sz w:val="21"/>
          <w:szCs w:val="21"/>
        </w:rPr>
        <w:br w:type="textWrapping"/>
      </w:r>
      <w:r>
        <w:rPr>
          <w:rFonts w:hint="eastAsia" w:ascii="宋体" w:hAnsi="宋体" w:eastAsia="宋体" w:cs="宋体"/>
          <w:sz w:val="21"/>
          <w:szCs w:val="21"/>
        </w:rPr>
        <w:t>不妥二：并在规定的时间内逐级上报至市（设区）级人民政府住建主管部门。（估计1分）</w:t>
      </w:r>
      <w:r>
        <w:rPr>
          <w:rFonts w:hint="eastAsia" w:ascii="宋体" w:hAnsi="宋体" w:eastAsia="宋体" w:cs="宋体"/>
          <w:sz w:val="21"/>
          <w:szCs w:val="21"/>
        </w:rPr>
        <w:br w:type="textWrapping"/>
      </w:r>
      <w:r>
        <w:rPr>
          <w:rFonts w:hint="eastAsia" w:ascii="宋体" w:hAnsi="宋体" w:eastAsia="宋体" w:cs="宋体"/>
          <w:sz w:val="21"/>
          <w:szCs w:val="21"/>
        </w:rPr>
        <w:t>正确做法：住建部门接到事故报告后，在规定的时间内逐级上报至省级人民政府住建主管部门。</w:t>
      </w:r>
      <w:r>
        <w:rPr>
          <w:rFonts w:hint="eastAsia" w:ascii="宋体" w:hAnsi="宋体" w:eastAsia="宋体" w:cs="宋体"/>
          <w:sz w:val="21"/>
          <w:szCs w:val="21"/>
        </w:rPr>
        <w:br w:type="textWrapping"/>
      </w:r>
      <w:r>
        <w:rPr>
          <w:rFonts w:hint="eastAsia" w:ascii="宋体" w:hAnsi="宋体" w:eastAsia="宋体" w:cs="宋体"/>
          <w:sz w:val="21"/>
          <w:szCs w:val="21"/>
        </w:rPr>
        <w:t>2）质量事故报告还应包括以下内容：（估计2分，答对1项1分，满分2分）</w:t>
      </w:r>
      <w:r>
        <w:rPr>
          <w:rFonts w:hint="eastAsia" w:ascii="宋体" w:hAnsi="宋体" w:eastAsia="宋体" w:cs="宋体"/>
          <w:sz w:val="21"/>
          <w:szCs w:val="21"/>
        </w:rPr>
        <w:br w:type="textWrapping"/>
      </w:r>
      <w:r>
        <w:rPr>
          <w:rFonts w:hint="eastAsia" w:ascii="宋体" w:hAnsi="宋体" w:eastAsia="宋体" w:cs="宋体"/>
          <w:sz w:val="21"/>
          <w:szCs w:val="21"/>
        </w:rPr>
        <w:sym w:font="Wingdings" w:char="F081"/>
      </w:r>
      <w:r>
        <w:rPr>
          <w:rFonts w:hint="eastAsia" w:ascii="宋体" w:hAnsi="宋体" w:eastAsia="宋体" w:cs="宋体"/>
          <w:sz w:val="21"/>
          <w:szCs w:val="21"/>
        </w:rPr>
        <w:t>工程各参建单位名称；</w:t>
      </w:r>
      <w:r>
        <w:rPr>
          <w:rFonts w:hint="eastAsia" w:ascii="宋体" w:hAnsi="宋体" w:eastAsia="宋体" w:cs="宋体"/>
          <w:sz w:val="21"/>
          <w:szCs w:val="21"/>
        </w:rPr>
        <w:br w:type="textWrapping"/>
      </w:r>
      <w:r>
        <w:rPr>
          <w:rFonts w:hint="eastAsia" w:ascii="宋体" w:hAnsi="宋体" w:eastAsia="宋体" w:cs="宋体"/>
          <w:sz w:val="21"/>
          <w:szCs w:val="21"/>
        </w:rPr>
        <w:sym w:font="Wingdings" w:char="F082"/>
      </w:r>
      <w:r>
        <w:rPr>
          <w:rFonts w:hint="eastAsia" w:ascii="宋体" w:hAnsi="宋体" w:eastAsia="宋体" w:cs="宋体"/>
          <w:sz w:val="21"/>
          <w:szCs w:val="21"/>
        </w:rPr>
        <w:t>初步估计的直接经济损失；</w:t>
      </w:r>
      <w:r>
        <w:rPr>
          <w:rFonts w:hint="eastAsia" w:ascii="宋体" w:hAnsi="宋体" w:eastAsia="宋体" w:cs="宋体"/>
          <w:sz w:val="21"/>
          <w:szCs w:val="21"/>
        </w:rPr>
        <w:br w:type="textWrapping"/>
      </w:r>
      <w:r>
        <w:rPr>
          <w:rFonts w:hint="eastAsia" w:ascii="宋体" w:hAnsi="宋体" w:eastAsia="宋体" w:cs="宋体"/>
          <w:sz w:val="21"/>
          <w:szCs w:val="21"/>
        </w:rPr>
        <w:sym w:font="Wingdings" w:char="F083"/>
      </w:r>
      <w:r>
        <w:rPr>
          <w:rFonts w:hint="eastAsia" w:ascii="宋体" w:hAnsi="宋体" w:eastAsia="宋体" w:cs="宋体"/>
          <w:sz w:val="21"/>
          <w:szCs w:val="21"/>
        </w:rPr>
        <w:t>事故的初步原因</w:t>
      </w:r>
    </w:p>
    <w:p>
      <w:pPr>
        <w:pStyle w:val="7"/>
        <w:widowControl/>
        <w:rPr>
          <w:rFonts w:hint="eastAsia" w:ascii="宋体" w:hAnsi="宋体" w:eastAsia="宋体" w:cs="宋体"/>
          <w:sz w:val="21"/>
          <w:szCs w:val="21"/>
        </w:rPr>
      </w:pPr>
      <w:r>
        <w:rPr>
          <w:rFonts w:hint="eastAsia" w:ascii="宋体" w:hAnsi="宋体" w:eastAsia="宋体" w:cs="宋体"/>
          <w:sz w:val="21"/>
          <w:szCs w:val="21"/>
        </w:rPr>
        <w:t>④事故报告联系人及联系方式</w:t>
      </w:r>
    </w:p>
    <w:p>
      <w:pPr>
        <w:pStyle w:val="7"/>
        <w:widowControl/>
        <w:rPr>
          <w:rFonts w:hint="eastAsia" w:ascii="宋体" w:hAnsi="宋体" w:eastAsia="宋体" w:cs="宋体"/>
          <w:sz w:val="21"/>
          <w:szCs w:val="21"/>
        </w:rPr>
      </w:pPr>
      <w:r>
        <w:rPr>
          <w:rFonts w:hint="eastAsia" w:ascii="宋体" w:hAnsi="宋体" w:eastAsia="宋体" w:cs="宋体"/>
          <w:sz w:val="21"/>
          <w:szCs w:val="21"/>
        </w:rPr>
        <w:t>⑤其他应报告的情况</w:t>
      </w:r>
      <w:r>
        <w:rPr>
          <w:rFonts w:hint="eastAsia" w:ascii="宋体" w:hAnsi="宋体" w:eastAsia="宋体" w:cs="宋体"/>
          <w:sz w:val="21"/>
          <w:szCs w:val="21"/>
        </w:rPr>
        <w:br w:type="textWrapping"/>
      </w:r>
      <w:r>
        <w:rPr>
          <w:rFonts w:hint="eastAsia" w:ascii="宋体" w:hAnsi="宋体" w:eastAsia="宋体" w:cs="宋体"/>
          <w:sz w:val="21"/>
          <w:szCs w:val="21"/>
        </w:rPr>
        <w:t>3、（估计3分）还应有：首次采用的钢材、焊接材料、焊接方法、焊接位置等进行焊接工艺的评定。（估计3分，答对1项1分，满分3分）</w:t>
      </w:r>
      <w:r>
        <w:rPr>
          <w:rFonts w:hint="eastAsia" w:ascii="宋体" w:hAnsi="宋体" w:eastAsia="宋体" w:cs="宋体"/>
          <w:sz w:val="21"/>
          <w:szCs w:val="21"/>
        </w:rPr>
        <w:br w:type="textWrapping"/>
      </w:r>
      <w:r>
        <w:rPr>
          <w:rFonts w:hint="eastAsia" w:ascii="宋体" w:hAnsi="宋体" w:eastAsia="宋体" w:cs="宋体"/>
          <w:sz w:val="21"/>
          <w:szCs w:val="21"/>
        </w:rPr>
        <w:t>4、（估计8分，答对1项2分，满分8分）</w:t>
      </w:r>
    </w:p>
    <w:p>
      <w:pPr>
        <w:pStyle w:val="7"/>
        <w:widowControl/>
        <w:rPr>
          <w:rFonts w:hint="eastAsia" w:ascii="宋体" w:hAnsi="宋体" w:eastAsia="宋体" w:cs="宋体"/>
          <w:sz w:val="21"/>
          <w:szCs w:val="21"/>
        </w:rPr>
      </w:pPr>
      <w:r>
        <w:rPr>
          <w:rFonts w:hint="eastAsia" w:ascii="宋体" w:hAnsi="宋体" w:eastAsia="宋体" w:cs="宋体"/>
          <w:sz w:val="21"/>
          <w:szCs w:val="21"/>
        </w:rPr>
        <w:t>（1）不妥之处一：进场小砌块龄期达到21d后，即开始浇水湿润，待小砌块表面浮水后，考试砌筑施工。</w:t>
      </w:r>
      <w:r>
        <w:rPr>
          <w:rFonts w:hint="eastAsia" w:ascii="宋体" w:hAnsi="宋体" w:eastAsia="宋体" w:cs="宋体"/>
          <w:sz w:val="21"/>
          <w:szCs w:val="21"/>
        </w:rPr>
        <w:br w:type="textWrapping"/>
      </w:r>
      <w:r>
        <w:rPr>
          <w:rFonts w:hint="eastAsia" w:ascii="宋体" w:hAnsi="宋体" w:eastAsia="宋体" w:cs="宋体"/>
          <w:sz w:val="21"/>
          <w:szCs w:val="21"/>
        </w:rPr>
        <w:t>正确做法：进场小砌块的产品龄期不小于28d，不需对小砌块浇水湿润，如遇天气干燥炎热，宜在砌筑前对其喷水湿润。</w:t>
      </w:r>
      <w:r>
        <w:rPr>
          <w:rFonts w:hint="eastAsia" w:ascii="宋体" w:hAnsi="宋体" w:eastAsia="宋体" w:cs="宋体"/>
          <w:sz w:val="21"/>
          <w:szCs w:val="21"/>
        </w:rPr>
        <w:br w:type="textWrapping"/>
      </w:r>
      <w:r>
        <w:rPr>
          <w:rFonts w:hint="eastAsia" w:ascii="宋体" w:hAnsi="宋体" w:eastAsia="宋体" w:cs="宋体"/>
          <w:sz w:val="21"/>
          <w:szCs w:val="21"/>
        </w:rPr>
        <w:t>（2）不妥之处二：小砌块的塔接长度为块体长度的1/3。</w:t>
      </w:r>
      <w:r>
        <w:rPr>
          <w:rFonts w:hint="eastAsia" w:ascii="宋体" w:hAnsi="宋体" w:eastAsia="宋体" w:cs="宋体"/>
          <w:sz w:val="21"/>
          <w:szCs w:val="21"/>
        </w:rPr>
        <w:br w:type="textWrapping"/>
      </w:r>
      <w:r>
        <w:rPr>
          <w:rFonts w:hint="eastAsia" w:ascii="宋体" w:hAnsi="宋体" w:eastAsia="宋体" w:cs="宋体"/>
          <w:sz w:val="21"/>
          <w:szCs w:val="21"/>
        </w:rPr>
        <w:t>正确做法：单排孔小砌块的塔接长度应为块体长度的1/2.</w:t>
      </w:r>
      <w:r>
        <w:rPr>
          <w:rFonts w:hint="eastAsia" w:ascii="宋体" w:hAnsi="宋体" w:eastAsia="宋体" w:cs="宋体"/>
          <w:sz w:val="21"/>
          <w:szCs w:val="21"/>
        </w:rPr>
        <w:br w:type="textWrapping"/>
      </w:r>
      <w:r>
        <w:rPr>
          <w:rFonts w:hint="eastAsia" w:ascii="宋体" w:hAnsi="宋体" w:eastAsia="宋体" w:cs="宋体"/>
          <w:sz w:val="21"/>
          <w:szCs w:val="21"/>
        </w:rPr>
        <w:t>（3）不妥之处三：竖向灰缝的砂浆饱满度为85%</w:t>
      </w:r>
      <w:r>
        <w:rPr>
          <w:rFonts w:hint="eastAsia" w:ascii="宋体" w:hAnsi="宋体" w:eastAsia="宋体" w:cs="宋体"/>
          <w:sz w:val="21"/>
          <w:szCs w:val="21"/>
        </w:rPr>
        <w:br w:type="textWrapping"/>
      </w:r>
      <w:r>
        <w:rPr>
          <w:rFonts w:hint="eastAsia" w:ascii="宋体" w:hAnsi="宋体" w:eastAsia="宋体" w:cs="宋体"/>
          <w:sz w:val="21"/>
          <w:szCs w:val="21"/>
        </w:rPr>
        <w:t>正确做法：竖向灰缝的砂浆饱满度不得低于90%</w:t>
      </w:r>
      <w:r>
        <w:rPr>
          <w:rFonts w:hint="eastAsia" w:ascii="宋体" w:hAnsi="宋体" w:eastAsia="宋体" w:cs="宋体"/>
          <w:sz w:val="21"/>
          <w:szCs w:val="21"/>
        </w:rPr>
        <w:br w:type="textWrapping"/>
      </w:r>
      <w:r>
        <w:rPr>
          <w:rFonts w:hint="eastAsia" w:ascii="宋体" w:hAnsi="宋体" w:eastAsia="宋体" w:cs="宋体"/>
          <w:sz w:val="21"/>
          <w:szCs w:val="21"/>
        </w:rPr>
        <w:t>（4）不妥之处四：填充墙砌筑7d后即开始顶砌施工。</w:t>
      </w:r>
      <w:r>
        <w:rPr>
          <w:rFonts w:hint="eastAsia" w:ascii="宋体" w:hAnsi="宋体" w:eastAsia="宋体" w:cs="宋体"/>
          <w:sz w:val="21"/>
          <w:szCs w:val="21"/>
        </w:rPr>
        <w:br w:type="textWrapping"/>
      </w:r>
      <w:r>
        <w:rPr>
          <w:rFonts w:hint="eastAsia" w:ascii="宋体" w:hAnsi="宋体" w:eastAsia="宋体" w:cs="宋体"/>
          <w:sz w:val="21"/>
          <w:szCs w:val="21"/>
        </w:rPr>
        <w:t>正确做法：填充墙梁口下最后3皮砖应在下部墙砌完14d后砌筑</w:t>
      </w:r>
      <w:r>
        <w:rPr>
          <w:rFonts w:hint="eastAsia" w:ascii="宋体" w:hAnsi="宋体" w:eastAsia="宋体" w:cs="宋体"/>
          <w:sz w:val="21"/>
          <w:szCs w:val="21"/>
        </w:rPr>
        <w:br w:type="textWrapping"/>
      </w:r>
      <w:r>
        <w:rPr>
          <w:rFonts w:hint="eastAsia" w:ascii="宋体" w:hAnsi="宋体" w:eastAsia="宋体" w:cs="宋体"/>
          <w:sz w:val="21"/>
          <w:szCs w:val="21"/>
        </w:rPr>
        <w:t>（5）不妥之处五：在部分墙体上留置了净宽度为1.2m的临时施工洞口</w:t>
      </w:r>
      <w:r>
        <w:rPr>
          <w:rFonts w:hint="eastAsia" w:ascii="宋体" w:hAnsi="宋体" w:eastAsia="宋体" w:cs="宋体"/>
          <w:sz w:val="21"/>
          <w:szCs w:val="21"/>
        </w:rPr>
        <w:br w:type="textWrapping"/>
      </w:r>
      <w:r>
        <w:rPr>
          <w:rFonts w:hint="eastAsia" w:ascii="宋体" w:hAnsi="宋体" w:eastAsia="宋体" w:cs="宋体"/>
          <w:sz w:val="21"/>
          <w:szCs w:val="21"/>
        </w:rPr>
        <w:t>正确做法：墙体上留置临时施工洞口，洞口净宽度不应超过1m。</w:t>
      </w:r>
    </w:p>
    <w:p>
      <w:pPr>
        <w:widowControl/>
        <w:jc w:val="left"/>
        <w:rPr>
          <w:rFonts w:hint="eastAsia" w:ascii="宋体" w:hAnsi="宋体" w:eastAsia="宋体" w:cs="宋体"/>
          <w:color w:val="000000"/>
          <w:sz w:val="21"/>
          <w:szCs w:val="21"/>
        </w:rPr>
      </w:pPr>
      <w:r>
        <w:rPr>
          <w:rFonts w:hint="eastAsia" w:ascii="宋体" w:hAnsi="宋体" w:eastAsia="宋体" w:cs="宋体"/>
          <w:b/>
          <w:color w:val="000000"/>
          <w:sz w:val="21"/>
          <w:szCs w:val="21"/>
        </w:rPr>
        <w:t xml:space="preserve">案例三：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背景资料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某新建工程，建筑面积15000㎡，地下两层，地上五层，钢筋混凝土框架结构采用800mm厚钢筋混凝土筏板基础，建筑总高20m。建设单位与某施工总承包单位签订了总承包合同。施工总承包单位将建设工程的基坑工程分包给了建设 单位指定的专业分包单位。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施工总承包单位项目经理部成立了安全生成领导小组，并配备了3名土建类专业安全员，项目经理部对现场的施工安全危险源进行了分辨识别。编制了项目现场防汛应急救援预案，按规定履行了审批手续，并要求专业分包单位按照应急救援预案进行一次应急演练。专业分包单位以没有配备相应救援器材和难以现场演练为由拒绝。总承包单位要求专业分包单位根据国家和相关规定进行整改。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外装修施工时，施工单位搭设了扣件式钢管脚手架（如图）。架体搭设完成后进行了验收检查，并提出了整改意见。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项目经理组织参见各方人员进行高出作业专项安全检查。检查内容包括安全帽、安全网、安全带、悬挑式物料平台等。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监理工程师认为检查项目不全面，要求按照《建筑施工安全检查标准》（JGJ59-2011）予以补充。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问题：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1、本工程至少应配置3名专职安全员，根据《住房和城乡建设部关于印发建筑施工企业主要负责人、项目经理部配置的》专职安全员是否妥当？并说明理由。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2、对施工总承包单位编制的防汛应急救援预案，专业承包单位应该如何执行？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3、指出背景资料中脚手架搭设的错误之处。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4、按照《建筑施工安全检查标准》（JGJ59-2011），现场高处作业检查的项目还应补充哪些？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案例答案：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1、</w:t>
      </w:r>
      <w:r>
        <w:rPr>
          <w:rFonts w:hint="eastAsia" w:ascii="宋体" w:hAnsi="宋体" w:eastAsia="宋体" w:cs="宋体"/>
          <w:kern w:val="0"/>
          <w:sz w:val="21"/>
          <w:szCs w:val="21"/>
        </w:rPr>
        <w:t>（估计5分）</w:t>
      </w:r>
      <w:r>
        <w:rPr>
          <w:rFonts w:hint="eastAsia" w:ascii="宋体" w:hAnsi="宋体" w:eastAsia="宋体" w:cs="宋体"/>
          <w:color w:val="000000"/>
          <w:sz w:val="21"/>
          <w:szCs w:val="21"/>
        </w:rPr>
        <w:t>本工程至少配备3名专职安全员，妥当</w:t>
      </w:r>
      <w:r>
        <w:rPr>
          <w:rFonts w:hint="eastAsia" w:ascii="宋体" w:hAnsi="宋体" w:eastAsia="宋体" w:cs="宋体"/>
          <w:kern w:val="0"/>
          <w:sz w:val="21"/>
          <w:szCs w:val="21"/>
        </w:rPr>
        <w:t>（估计3分）</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依据相关规定，建筑面积在1-5万㎡之间的应配备2名专职安全员，本工程建筑面积15000㎡， 应配备2名，本工程配备了3名，因此妥当</w:t>
      </w:r>
      <w:r>
        <w:rPr>
          <w:rFonts w:hint="eastAsia" w:ascii="宋体" w:hAnsi="宋体" w:eastAsia="宋体" w:cs="宋体"/>
          <w:kern w:val="0"/>
          <w:sz w:val="21"/>
          <w:szCs w:val="21"/>
        </w:rPr>
        <w:t>（估计2分）</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2、</w:t>
      </w:r>
      <w:r>
        <w:rPr>
          <w:rFonts w:hint="eastAsia" w:ascii="宋体" w:hAnsi="宋体" w:eastAsia="宋体" w:cs="宋体"/>
          <w:kern w:val="0"/>
          <w:sz w:val="21"/>
          <w:szCs w:val="21"/>
        </w:rPr>
        <w:t>（估计5分）</w:t>
      </w:r>
      <w:r>
        <w:rPr>
          <w:rFonts w:hint="eastAsia" w:ascii="宋体" w:hAnsi="宋体" w:eastAsia="宋体" w:cs="宋体"/>
          <w:color w:val="000000"/>
          <w:sz w:val="21"/>
          <w:szCs w:val="21"/>
        </w:rPr>
        <w:t>专业分包单位应：</w:t>
      </w:r>
      <w:r>
        <w:rPr>
          <w:rFonts w:hint="eastAsia" w:ascii="宋体" w:hAnsi="宋体" w:eastAsia="宋体" w:cs="宋体"/>
          <w:kern w:val="0"/>
          <w:sz w:val="21"/>
          <w:szCs w:val="21"/>
        </w:rPr>
        <w:t>（估计5分，答对1项1分，满分5分）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（1）成立分包单位自己的防汛应急领导小组并明确职责；</w:t>
      </w:r>
    </w:p>
    <w:p>
      <w:pPr>
        <w:widowControl/>
        <w:numPr>
          <w:ilvl w:val="0"/>
          <w:numId w:val="4"/>
        </w:numPr>
        <w:jc w:val="left"/>
        <w:rPr>
          <w:rFonts w:hint="eastAsia" w:ascii="宋体" w:hAnsi="宋体" w:eastAsia="宋体" w:cs="宋体"/>
          <w:color w:val="000000"/>
          <w:sz w:val="21"/>
          <w:szCs w:val="21"/>
        </w:rPr>
      </w:pPr>
      <w:r>
        <w:rPr>
          <w:rFonts w:hint="eastAsia" w:ascii="宋体" w:hAnsi="宋体" w:eastAsia="宋体" w:cs="宋体"/>
          <w:color w:val="000000"/>
          <w:sz w:val="21"/>
          <w:szCs w:val="21"/>
        </w:rPr>
        <w:t>接受总包单位的领导</w:t>
      </w:r>
    </w:p>
    <w:p>
      <w:pPr>
        <w:widowControl/>
        <w:numPr>
          <w:ilvl w:val="0"/>
          <w:numId w:val="4"/>
        </w:numPr>
        <w:jc w:val="left"/>
        <w:rPr>
          <w:rFonts w:hint="eastAsia" w:ascii="宋体" w:hAnsi="宋体" w:eastAsia="宋体" w:cs="宋体"/>
          <w:color w:val="000000"/>
          <w:sz w:val="21"/>
          <w:szCs w:val="21"/>
        </w:rPr>
      </w:pPr>
      <w:r>
        <w:rPr>
          <w:rFonts w:hint="eastAsia" w:ascii="宋体" w:hAnsi="宋体" w:eastAsia="宋体" w:cs="宋体"/>
          <w:color w:val="000000"/>
          <w:sz w:val="21"/>
          <w:szCs w:val="21"/>
        </w:rPr>
        <w:t>学习并熟悉防汛应急救援预案</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（4）按应急专业队伍的职责要求，成立应急队伍、救援队伍</w:t>
      </w:r>
    </w:p>
    <w:p>
      <w:pPr>
        <w:widowControl/>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（5）配备救援器材，并对应急救援器材进行学习使用；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（6）进行应急人员的专项培训；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（7）应结合实际情况定期组织防汛专项的应急演练。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3、 </w:t>
      </w:r>
      <w:r>
        <w:rPr>
          <w:rFonts w:hint="eastAsia" w:ascii="宋体" w:hAnsi="宋体" w:eastAsia="宋体" w:cs="宋体"/>
          <w:kern w:val="0"/>
          <w:sz w:val="21"/>
          <w:szCs w:val="21"/>
        </w:rPr>
        <w:t>（估计5分，答对1项1分，满分5分）</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不妥一：当立杆的基础不在同一高度上时，必须将高出的纵向扫地杆向低处延长两跨与立杆固定，本图中，高出纵向扫地杆只向低处延长了一跨。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横向扫地杆应在纵向扫地杆下部；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不妥二：脚手架底下未设置木垫板</w:t>
      </w:r>
    </w:p>
    <w:p>
      <w:pPr>
        <w:widowControl/>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不妥三：立杆有采用搭接的方式，而应采用对接。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 xml:space="preserve">不妥四：该脚手架宜采用刚性连墙件与建筑物可靠连接，亦可采用钢筋与顶撑配合使用的附墙方式，严禁使用只有钢筋的柔性连墙件。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不妥五：剪刀撑水平方向未连续设置</w:t>
      </w:r>
    </w:p>
    <w:p>
      <w:pPr>
        <w:widowControl/>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不妥六：脚手架的步距一般不超过1.8m，而本图中低处脚手架的最下一步步距为2.3m。 </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不妥七：未设置安全防护网等</w:t>
      </w:r>
    </w:p>
    <w:p>
      <w:pPr>
        <w:widowControl/>
        <w:jc w:val="left"/>
        <w:rPr>
          <w:rFonts w:hint="eastAsia" w:ascii="宋体" w:hAnsi="宋体" w:eastAsia="宋体" w:cs="宋体"/>
          <w:color w:val="000000"/>
          <w:sz w:val="21"/>
          <w:szCs w:val="21"/>
        </w:rPr>
      </w:pPr>
    </w:p>
    <w:p>
      <w:pPr>
        <w:widowControl/>
        <w:jc w:val="left"/>
        <w:rPr>
          <w:rFonts w:hint="eastAsia" w:ascii="宋体" w:hAnsi="宋体" w:eastAsia="宋体" w:cs="宋体"/>
          <w:color w:val="000000"/>
          <w:sz w:val="21"/>
          <w:szCs w:val="21"/>
        </w:rPr>
      </w:pPr>
      <w:r>
        <w:rPr>
          <w:rFonts w:hint="eastAsia" w:ascii="宋体" w:hAnsi="宋体" w:eastAsia="宋体" w:cs="宋体"/>
          <w:color w:val="000000"/>
          <w:sz w:val="21"/>
          <w:szCs w:val="21"/>
        </w:rPr>
        <w:t>4、</w:t>
      </w:r>
      <w:r>
        <w:rPr>
          <w:rFonts w:hint="eastAsia" w:ascii="宋体" w:hAnsi="宋体" w:eastAsia="宋体" w:cs="宋体"/>
          <w:kern w:val="0"/>
          <w:sz w:val="21"/>
          <w:szCs w:val="21"/>
        </w:rPr>
        <w:t>（估计5分，答对1项1分，满分5分）</w:t>
      </w:r>
      <w:r>
        <w:rPr>
          <w:rFonts w:hint="eastAsia" w:ascii="宋体" w:hAnsi="宋体" w:eastAsia="宋体" w:cs="宋体"/>
          <w:color w:val="000000"/>
          <w:sz w:val="21"/>
          <w:szCs w:val="21"/>
        </w:rPr>
        <w:t>还应补充：临边防护、洞口防护、通道口防护、攀登作业、悬空作业、移动式操作平台。</w:t>
      </w:r>
    </w:p>
    <w:p>
      <w:pPr>
        <w:rPr>
          <w:rFonts w:hint="eastAsia" w:ascii="宋体" w:hAnsi="宋体" w:eastAsia="宋体" w:cs="宋体"/>
          <w:sz w:val="21"/>
          <w:szCs w:val="21"/>
        </w:rPr>
      </w:pPr>
    </w:p>
    <w:p>
      <w:pPr>
        <w:widowControl/>
        <w:jc w:val="left"/>
        <w:rPr>
          <w:rFonts w:hint="eastAsia" w:ascii="宋体" w:hAnsi="宋体" w:eastAsia="宋体" w:cs="宋体"/>
          <w:color w:val="000000"/>
          <w:sz w:val="21"/>
          <w:szCs w:val="21"/>
        </w:rPr>
      </w:pPr>
      <w:r>
        <w:rPr>
          <w:rFonts w:hint="eastAsia" w:ascii="宋体" w:hAnsi="宋体" w:eastAsia="宋体" w:cs="宋体"/>
          <w:b/>
          <w:color w:val="000000"/>
          <w:kern w:val="0"/>
          <w:sz w:val="21"/>
          <w:szCs w:val="21"/>
        </w:rPr>
        <w:t>（四）</w:t>
      </w:r>
      <w:r>
        <w:rPr>
          <w:rFonts w:hint="eastAsia" w:ascii="宋体" w:hAnsi="宋体" w:eastAsia="宋体" w:cs="宋体"/>
          <w:b/>
          <w:color w:val="000000"/>
          <w:kern w:val="0"/>
          <w:sz w:val="21"/>
          <w:szCs w:val="21"/>
        </w:rPr>
        <w:br w:type="textWrapping"/>
      </w:r>
      <w:r>
        <w:rPr>
          <w:rFonts w:hint="eastAsia" w:ascii="宋体" w:hAnsi="宋体" w:eastAsia="宋体" w:cs="宋体"/>
          <w:b/>
          <w:color w:val="000000"/>
          <w:kern w:val="0"/>
          <w:sz w:val="21"/>
          <w:szCs w:val="21"/>
        </w:rPr>
        <w:t>背景资料</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某新建住宅工程，建筑面积43200㎡，剪力墙结构，投资额25910万元建设单位自行编制了招标工程量清单等招标文件，其中部分条款内容为：本工程实行施工总承包模式：承包范围为土建、水电安装、内外装修及室外道路和小区园林景观；施工质量标准为合格；工程款按每月完成工作量的80%支付，保修金为总价的5%，招标控制价为25000万元；工期自2013年7月1日起至2014年9月30日止，工期为15个月；园林景观由建设单位指定专业分包单位施工。</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某工程总承包单位按市场价格计算为25200万元，为确保中标最终以23500万元作为投标价，经公开招投标，该总承包单位中标，双方签订了工程施工总承包合同A，并上报建设行政主管部分，建设单位因资金紧张提出工程款支付比例修改为按每月完成工作量的70%支付，并提出今后在同等条件下改施工总承包单位可以优先中标的条件。施工总承包单位同意了建设单位这一要求，双方据此重新签订了施工总承包合同B，约定因此执行。</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施工总承包单位组建了项目经理部，于2013年6月20日进场进行施工准备，进场7天内，建设单位组织设计，监理等单位共同完成了图纸会审工作，相关方提出并签了意见，项目经理部进行了图纸交底工作。</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2013年6月28日，施工总承包单位编制了项目管理实施规划，其中：项目成本目标为21620万元，项目现金流量表如下：（单位：万元）：</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项目现金流量表（单位：万元）</w:t>
      </w:r>
    </w:p>
    <w:p>
      <w:pPr>
        <w:widowControl/>
        <w:jc w:val="left"/>
        <w:rPr>
          <w:rFonts w:hint="eastAsia" w:ascii="宋体" w:hAnsi="宋体" w:eastAsia="宋体" w:cs="宋体"/>
          <w:color w:val="000000"/>
          <w:kern w:val="0"/>
          <w:sz w:val="21"/>
          <w:szCs w:val="21"/>
        </w:rPr>
      </w:pPr>
    </w:p>
    <w:p>
      <w:pPr>
        <w:widowControl/>
        <w:jc w:val="left"/>
        <w:rPr>
          <w:rFonts w:hint="eastAsia" w:ascii="宋体" w:hAnsi="宋体" w:eastAsia="宋体" w:cs="宋体"/>
          <w:color w:val="000000"/>
          <w:kern w:val="0"/>
          <w:sz w:val="21"/>
          <w:szCs w:val="21"/>
        </w:rPr>
      </w:pPr>
    </w:p>
    <w:p>
      <w:pPr>
        <w:widowControl/>
        <w:jc w:val="left"/>
        <w:rPr>
          <w:rFonts w:hint="eastAsia" w:ascii="宋体" w:hAnsi="宋体" w:eastAsia="宋体" w:cs="宋体"/>
          <w:color w:val="000000"/>
          <w:kern w:val="0"/>
          <w:sz w:val="21"/>
          <w:szCs w:val="21"/>
        </w:rPr>
      </w:pPr>
    </w:p>
    <w:p>
      <w:pPr>
        <w:widowControl/>
        <w:jc w:val="left"/>
        <w:rPr>
          <w:rFonts w:hint="eastAsia" w:ascii="宋体" w:hAnsi="宋体" w:eastAsia="宋体" w:cs="宋体"/>
          <w:color w:val="000000"/>
          <w:kern w:val="0"/>
          <w:sz w:val="21"/>
          <w:szCs w:val="21"/>
        </w:rPr>
      </w:pPr>
    </w:p>
    <w:p>
      <w:pPr>
        <w:widowControl/>
        <w:jc w:val="left"/>
        <w:rPr>
          <w:rFonts w:hint="eastAsia" w:ascii="宋体" w:hAnsi="宋体" w:eastAsia="宋体" w:cs="宋体"/>
          <w:color w:val="000000"/>
          <w:kern w:val="0"/>
          <w:sz w:val="21"/>
          <w:szCs w:val="21"/>
        </w:rPr>
      </w:pPr>
    </w:p>
    <w:p>
      <w:pPr>
        <w:widowControl/>
        <w:jc w:val="left"/>
        <w:rPr>
          <w:rFonts w:hint="eastAsia" w:ascii="宋体" w:hAnsi="宋体" w:eastAsia="宋体" w:cs="宋体"/>
          <w:color w:val="000000"/>
          <w:kern w:val="0"/>
          <w:sz w:val="21"/>
          <w:szCs w:val="21"/>
        </w:rPr>
      </w:pPr>
    </w:p>
    <w:p>
      <w:pPr>
        <w:widowControl/>
        <w:jc w:val="left"/>
        <w:rPr>
          <w:rFonts w:hint="eastAsia" w:ascii="宋体" w:hAnsi="宋体" w:eastAsia="宋体" w:cs="宋体"/>
          <w:color w:val="000000"/>
          <w:kern w:val="0"/>
          <w:sz w:val="21"/>
          <w:szCs w:val="21"/>
        </w:rPr>
      </w:pPr>
    </w:p>
    <w:p>
      <w:pPr>
        <w:widowControl/>
        <w:jc w:val="left"/>
        <w:rPr>
          <w:rFonts w:hint="eastAsia" w:ascii="宋体" w:hAnsi="宋体" w:eastAsia="宋体" w:cs="宋体"/>
          <w:color w:val="000000"/>
          <w:kern w:val="0"/>
          <w:sz w:val="21"/>
          <w:szCs w:val="21"/>
        </w:rPr>
      </w:pPr>
    </w:p>
    <w:p>
      <w:pPr>
        <w:widowControl/>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drawing>
          <wp:inline distT="0" distB="0" distL="114300" distR="114300">
            <wp:extent cx="5715000" cy="1895475"/>
            <wp:effectExtent l="0" t="0" r="0" b="9525"/>
            <wp:docPr id="21"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descr="IMG_256"/>
                    <pic:cNvPicPr>
                      <a:picLocks noChangeAspect="1"/>
                    </pic:cNvPicPr>
                  </pic:nvPicPr>
                  <pic:blipFill>
                    <a:blip r:embed="rId13"/>
                    <a:stretch>
                      <a:fillRect/>
                    </a:stretch>
                  </pic:blipFill>
                  <pic:spPr>
                    <a:xfrm>
                      <a:off x="0" y="0"/>
                      <a:ext cx="5715000" cy="1895475"/>
                    </a:xfrm>
                    <a:prstGeom prst="rect">
                      <a:avLst/>
                    </a:prstGeom>
                    <a:noFill/>
                    <a:ln w="9525">
                      <a:noFill/>
                    </a:ln>
                  </pic:spPr>
                </pic:pic>
              </a:graphicData>
            </a:graphic>
          </wp:inline>
        </w:drawing>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截止2013年12月来，累积完成工程成本10395万元，处置废旧材料所得3.5万元，获得贷款资金800万元，施工进度奖励146万元。</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内装修施工时，项目经理配发现建设单位提供的工程量清单中未包括一层公共区域地面面层子目，铺贴面积1200㎡。因招标工程量清单中没有类似子目，于是项目经理按照市场价格系重新组价，综合单价1200㎡，经现场专业监理工程师审核后上报建设单位。</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2014年9月30日工程通过竣工验收，建设单位按照相关规定，提交了工程竣工验收备案表，工程竣工验收报告，人防及消防单位出具的验收文件，并获得规划，环保等部门出具的认可文件，在当地建设行政主管部门成了相关备案工作。</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问题：</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1、双方签订合同的行为是否违法？双方签订的哪份合同有数？施工单位遇到此类现象时，需要把握哪些关键点。</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2、工程图纸会审还应有哪些单位参加？项目经理部进行图纸交底工作的目的是什么。</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3、项目经理部制定项目成本计划的依据有哪些。施工至第几个月时项目累计现金流为正？该月的累计净现金流是多少万元。</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4、截止2014（2013？）年12月末，本项目的合同完工进度是多少。建造合同收入是多少万元（保留小数点后两位）？资金供应需要考虑哪些条件。</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5、招标单位应对哪些招标工程量清单总体要求负责。除工程量清单漏项外，还有哪些情况允许调整招标工程量清单所列工程量。依据本合同原则计算层公共区域楼地面面层的综合单价（单位：元/m</w:t>
      </w:r>
      <w:r>
        <w:rPr>
          <w:rFonts w:hint="eastAsia" w:ascii="宋体" w:hAnsi="宋体" w:eastAsia="宋体" w:cs="宋体"/>
          <w:color w:val="000000"/>
          <w:kern w:val="0"/>
          <w:sz w:val="21"/>
          <w:szCs w:val="21"/>
          <w:vertAlign w:val="superscript"/>
        </w:rPr>
        <w:t>2</w:t>
      </w:r>
      <w:r>
        <w:rPr>
          <w:rFonts w:hint="eastAsia" w:ascii="宋体" w:hAnsi="宋体" w:eastAsia="宋体" w:cs="宋体"/>
          <w:color w:val="000000"/>
          <w:kern w:val="0"/>
          <w:sz w:val="21"/>
          <w:szCs w:val="21"/>
        </w:rPr>
        <w:t>）及总价（单位：万元，保留小数点后两位）分别时多少。</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6在本项目的竣工验收备案工作中，施工总承包单位还要向建设单位提交哪些文件？</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参考答案：</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w:t>
      </w:r>
      <w:r>
        <w:rPr>
          <w:rFonts w:hint="eastAsia" w:ascii="宋体" w:hAnsi="宋体" w:eastAsia="宋体" w:cs="宋体"/>
          <w:kern w:val="0"/>
          <w:sz w:val="21"/>
          <w:szCs w:val="21"/>
        </w:rPr>
        <w:t>（估计6分）</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(1)双方签订合同行为违法</w:t>
      </w:r>
      <w:r>
        <w:rPr>
          <w:rFonts w:hint="eastAsia" w:ascii="宋体" w:hAnsi="宋体" w:eastAsia="宋体" w:cs="宋体"/>
          <w:kern w:val="0"/>
          <w:sz w:val="21"/>
          <w:szCs w:val="21"/>
        </w:rPr>
        <w:t>（估计2分）</w:t>
      </w:r>
      <w:r>
        <w:rPr>
          <w:rFonts w:hint="eastAsia" w:ascii="宋体" w:hAnsi="宋体" w:eastAsia="宋体" w:cs="宋体"/>
          <w:color w:val="000000"/>
          <w:kern w:val="0"/>
          <w:sz w:val="21"/>
          <w:szCs w:val="21"/>
        </w:rPr>
        <w:t>。（2）双方签订的合同A有效。</w:t>
      </w:r>
      <w:r>
        <w:rPr>
          <w:rFonts w:hint="eastAsia" w:ascii="宋体" w:hAnsi="宋体" w:eastAsia="宋体" w:cs="宋体"/>
          <w:kern w:val="0"/>
          <w:sz w:val="21"/>
          <w:szCs w:val="21"/>
        </w:rPr>
        <w:t>（估计2分）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（3）施工单位遇到此类问题时，应把握关于工期、质量、造价等实质性方面的约定是否符合招标、中标文件，还应把握对工程进度拨款和竣工结算程序是否与招、中标文件一致。</w:t>
      </w:r>
      <w:r>
        <w:rPr>
          <w:rFonts w:hint="eastAsia" w:ascii="宋体" w:hAnsi="宋体" w:eastAsia="宋体" w:cs="宋体"/>
          <w:kern w:val="0"/>
          <w:sz w:val="21"/>
          <w:szCs w:val="21"/>
        </w:rPr>
        <w:t>（估计2分）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w:t>
      </w:r>
      <w:r>
        <w:rPr>
          <w:rFonts w:hint="eastAsia" w:ascii="宋体" w:hAnsi="宋体" w:eastAsia="宋体" w:cs="宋体"/>
          <w:kern w:val="0"/>
          <w:sz w:val="21"/>
          <w:szCs w:val="21"/>
        </w:rPr>
        <w:t>（估计4分）</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（1）工程图纸会审还应有施工单位参加。</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（2）项目经理部进行图纸交底的目的是：</w:t>
      </w:r>
      <w:r>
        <w:rPr>
          <w:rFonts w:hint="eastAsia" w:ascii="宋体" w:hAnsi="宋体" w:eastAsia="宋体" w:cs="宋体"/>
          <w:color w:val="000000"/>
          <w:sz w:val="21"/>
          <w:szCs w:val="21"/>
        </w:rPr>
        <w:t>施工单位熟悉设计图纸、领会设计意图、了解设计内容和技术要求，发现各专业设计的矛盾，消除施工图的差错；明确质量控制的重点和难点，掌握工程特点，找出需要解决的技术难题并拟定施工方案等</w:t>
      </w:r>
      <w:r>
        <w:rPr>
          <w:rFonts w:hint="eastAsia" w:ascii="宋体" w:hAnsi="宋体" w:eastAsia="宋体" w:cs="宋体"/>
          <w:kern w:val="0"/>
          <w:sz w:val="21"/>
          <w:szCs w:val="21"/>
        </w:rPr>
        <w:t>（估计3分,1项1分，满分3分））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3、</w:t>
      </w:r>
      <w:r>
        <w:rPr>
          <w:rFonts w:hint="eastAsia" w:ascii="宋体" w:hAnsi="宋体" w:eastAsia="宋体" w:cs="宋体"/>
          <w:kern w:val="0"/>
          <w:sz w:val="21"/>
          <w:szCs w:val="21"/>
        </w:rPr>
        <w:t>（估计8分）</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（1）项目经理部制定威本计划的依据包括：</w:t>
      </w:r>
      <w:r>
        <w:rPr>
          <w:rFonts w:hint="eastAsia" w:ascii="宋体" w:hAnsi="宋体" w:eastAsia="宋体" w:cs="宋体"/>
          <w:kern w:val="0"/>
          <w:sz w:val="21"/>
          <w:szCs w:val="21"/>
        </w:rPr>
        <w:t>（估计4分,1项1分，满分4分）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1)合同文件；</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2)项目管理实施规划；</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3)可研报告和相关设计文件；</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4)市场价格信息；</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5)相关定额；</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6)类似项目的成本资料。</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（2）施工至第8个月时累计净现金流量为正。</w:t>
      </w:r>
      <w:r>
        <w:rPr>
          <w:rFonts w:hint="eastAsia" w:ascii="宋体" w:hAnsi="宋体" w:eastAsia="宋体" w:cs="宋体"/>
          <w:kern w:val="0"/>
          <w:sz w:val="21"/>
          <w:szCs w:val="21"/>
        </w:rPr>
        <w:t>（估计2分）</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(3)该月累计净现金流量是425万元。</w:t>
      </w:r>
      <w:r>
        <w:rPr>
          <w:rFonts w:hint="eastAsia" w:ascii="宋体" w:hAnsi="宋体" w:eastAsia="宋体" w:cs="宋体"/>
          <w:kern w:val="0"/>
          <w:sz w:val="21"/>
          <w:szCs w:val="21"/>
        </w:rPr>
        <w:t>（估计2分）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4、</w:t>
      </w:r>
      <w:r>
        <w:rPr>
          <w:rFonts w:hint="eastAsia" w:ascii="宋体" w:hAnsi="宋体" w:eastAsia="宋体" w:cs="宋体"/>
          <w:kern w:val="0"/>
          <w:sz w:val="21"/>
          <w:szCs w:val="21"/>
        </w:rPr>
        <w:t>（估计6分）</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（1）截止12月末，本项目的合同完工进度是：10395/21620×100%=48.08%</w:t>
      </w:r>
      <w:r>
        <w:rPr>
          <w:rFonts w:hint="eastAsia" w:ascii="宋体" w:hAnsi="宋体" w:eastAsia="宋体" w:cs="宋体"/>
          <w:kern w:val="0"/>
          <w:sz w:val="21"/>
          <w:szCs w:val="21"/>
        </w:rPr>
        <w:t>（估计1分）</w:t>
      </w:r>
    </w:p>
    <w:p>
      <w:pPr>
        <w:widowControl/>
        <w:numPr>
          <w:ilvl w:val="0"/>
          <w:numId w:val="5"/>
        </w:numPr>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截止2014（2013？）年12月末：</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完成的工程款：450+1200+2600+2500+2400+2400=11550万元</w:t>
      </w:r>
      <w:r>
        <w:rPr>
          <w:rFonts w:hint="eastAsia" w:ascii="宋体" w:hAnsi="宋体" w:eastAsia="宋体" w:cs="宋体"/>
          <w:kern w:val="0"/>
          <w:sz w:val="21"/>
          <w:szCs w:val="21"/>
        </w:rPr>
        <w:t>（估计1分）</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考虑扣除保修金，工程款支付：11500*（80%-5%）+146=8808.50万元</w:t>
      </w:r>
      <w:r>
        <w:rPr>
          <w:rFonts w:hint="eastAsia" w:ascii="宋体" w:hAnsi="宋体" w:eastAsia="宋体" w:cs="宋体"/>
          <w:kern w:val="0"/>
          <w:sz w:val="21"/>
          <w:szCs w:val="21"/>
        </w:rPr>
        <w:t>（估计1分）</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(不考虑扣除保修金，工程款支付：11500*80%+146=9386.00万元)</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（截止2014年12月末：100%；23500+146+134.29=23780.29万元</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23500+146+135.36=23781.36万元）</w:t>
      </w:r>
    </w:p>
    <w:p>
      <w:pPr>
        <w:widowControl/>
        <w:jc w:val="left"/>
        <w:rPr>
          <w:rFonts w:hint="eastAsia" w:ascii="宋体" w:hAnsi="宋体" w:eastAsia="宋体" w:cs="宋体"/>
          <w:kern w:val="0"/>
          <w:sz w:val="21"/>
          <w:szCs w:val="21"/>
        </w:rPr>
      </w:pPr>
      <w:r>
        <w:rPr>
          <w:rFonts w:hint="eastAsia" w:ascii="宋体" w:hAnsi="宋体" w:eastAsia="宋体" w:cs="宋体"/>
          <w:color w:val="000000"/>
          <w:kern w:val="0"/>
          <w:sz w:val="21"/>
          <w:szCs w:val="21"/>
        </w:rPr>
        <w:t>(3)资金供应需要考虑：可能的资金总供应量、资金来源、资金供应时间。</w:t>
      </w:r>
      <w:r>
        <w:rPr>
          <w:rFonts w:hint="eastAsia" w:ascii="宋体" w:hAnsi="宋体" w:eastAsia="宋体" w:cs="宋体"/>
          <w:kern w:val="0"/>
          <w:sz w:val="21"/>
          <w:szCs w:val="21"/>
        </w:rPr>
        <w:t>（估计3分）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5、</w:t>
      </w:r>
      <w:r>
        <w:rPr>
          <w:rFonts w:hint="eastAsia" w:ascii="宋体" w:hAnsi="宋体" w:eastAsia="宋体" w:cs="宋体"/>
          <w:kern w:val="0"/>
          <w:sz w:val="21"/>
          <w:szCs w:val="21"/>
        </w:rPr>
        <w:t>（估计7分）</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（1）招标单位应对分部分项工程量清单的完整性和准确性负责。</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（2）除工程量清单漏项外，工程变更、工程量偏差过大也会可以调整清单所列工程量。</w:t>
      </w:r>
      <w:r>
        <w:rPr>
          <w:rFonts w:hint="eastAsia" w:ascii="宋体" w:hAnsi="宋体" w:eastAsia="宋体" w:cs="宋体"/>
          <w:color w:val="000000"/>
          <w:kern w:val="0"/>
          <w:sz w:val="21"/>
          <w:szCs w:val="21"/>
        </w:rPr>
        <w:br w:type="textWrapping"/>
      </w:r>
      <w:r>
        <w:rPr>
          <w:rFonts w:hint="eastAsia" w:ascii="宋体" w:hAnsi="宋体" w:eastAsia="宋体" w:cs="宋体"/>
          <w:kern w:val="0"/>
          <w:sz w:val="21"/>
          <w:szCs w:val="21"/>
        </w:rPr>
        <w:t>（估计2分）</w:t>
      </w:r>
    </w:p>
    <w:p>
      <w:pPr>
        <w:widowControl/>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（3）楼公共区域楼地面面层综合单价为1200*23500/25200=1119.05元/m</w:t>
      </w:r>
      <w:r>
        <w:rPr>
          <w:rFonts w:hint="eastAsia" w:ascii="宋体" w:hAnsi="宋体" w:eastAsia="宋体" w:cs="宋体"/>
          <w:color w:val="000000"/>
          <w:kern w:val="0"/>
          <w:sz w:val="21"/>
          <w:szCs w:val="21"/>
          <w:vertAlign w:val="superscript"/>
        </w:rPr>
        <w:t>2</w:t>
      </w:r>
      <w:r>
        <w:rPr>
          <w:rFonts w:hint="eastAsia" w:ascii="宋体" w:hAnsi="宋体" w:eastAsia="宋体" w:cs="宋体"/>
          <w:kern w:val="0"/>
          <w:sz w:val="21"/>
          <w:szCs w:val="21"/>
        </w:rPr>
        <w:t>（估计2分）</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（4）总价为1200m</w:t>
      </w:r>
      <w:r>
        <w:rPr>
          <w:rFonts w:hint="eastAsia" w:ascii="宋体" w:hAnsi="宋体" w:eastAsia="宋体" w:cs="宋体"/>
          <w:color w:val="000000"/>
          <w:kern w:val="0"/>
          <w:sz w:val="21"/>
          <w:szCs w:val="21"/>
          <w:vertAlign w:val="superscript"/>
        </w:rPr>
        <w:t>2</w:t>
      </w:r>
      <w:r>
        <w:rPr>
          <w:rFonts w:hint="eastAsia" w:ascii="宋体" w:hAnsi="宋体" w:eastAsia="宋体" w:cs="宋体"/>
          <w:color w:val="000000"/>
          <w:kern w:val="0"/>
          <w:sz w:val="21"/>
          <w:szCs w:val="21"/>
        </w:rPr>
        <w:t>×1119.05元/m</w:t>
      </w:r>
      <w:r>
        <w:rPr>
          <w:rFonts w:hint="eastAsia" w:ascii="宋体" w:hAnsi="宋体" w:eastAsia="宋体" w:cs="宋体"/>
          <w:color w:val="000000"/>
          <w:kern w:val="0"/>
          <w:sz w:val="21"/>
          <w:szCs w:val="21"/>
          <w:vertAlign w:val="superscript"/>
        </w:rPr>
        <w:t>2</w:t>
      </w:r>
      <w:r>
        <w:rPr>
          <w:rFonts w:hint="eastAsia" w:ascii="宋体" w:hAnsi="宋体" w:eastAsia="宋体" w:cs="宋体"/>
          <w:color w:val="000000"/>
          <w:kern w:val="0"/>
          <w:sz w:val="21"/>
          <w:szCs w:val="21"/>
        </w:rPr>
        <w:t>=1342860=134.29万元。</w:t>
      </w:r>
      <w:r>
        <w:rPr>
          <w:rFonts w:hint="eastAsia" w:ascii="宋体" w:hAnsi="宋体" w:eastAsia="宋体" w:cs="宋体"/>
          <w:kern w:val="0"/>
          <w:sz w:val="21"/>
          <w:szCs w:val="21"/>
        </w:rPr>
        <w:t>（估计2分）</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(按下浮率：1-23500/25000=6%</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1200*(1-6%)=1128</w:t>
      </w:r>
    </w:p>
    <w:p>
      <w:pPr>
        <w:widowControl/>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总价为1200m</w:t>
      </w:r>
      <w:r>
        <w:rPr>
          <w:rFonts w:hint="eastAsia" w:ascii="宋体" w:hAnsi="宋体" w:eastAsia="宋体" w:cs="宋体"/>
          <w:color w:val="000000"/>
          <w:kern w:val="0"/>
          <w:sz w:val="21"/>
          <w:szCs w:val="21"/>
          <w:vertAlign w:val="superscript"/>
        </w:rPr>
        <w:t>2</w:t>
      </w:r>
      <w:r>
        <w:rPr>
          <w:rFonts w:hint="eastAsia" w:ascii="宋体" w:hAnsi="宋体" w:eastAsia="宋体" w:cs="宋体"/>
          <w:color w:val="000000"/>
          <w:kern w:val="0"/>
          <w:sz w:val="21"/>
          <w:szCs w:val="21"/>
        </w:rPr>
        <w:t>×1128元/m</w:t>
      </w:r>
      <w:r>
        <w:rPr>
          <w:rFonts w:hint="eastAsia" w:ascii="宋体" w:hAnsi="宋体" w:eastAsia="宋体" w:cs="宋体"/>
          <w:color w:val="000000"/>
          <w:kern w:val="0"/>
          <w:sz w:val="21"/>
          <w:szCs w:val="21"/>
          <w:vertAlign w:val="superscript"/>
        </w:rPr>
        <w:t>2</w:t>
      </w:r>
      <w:r>
        <w:rPr>
          <w:rFonts w:hint="eastAsia" w:ascii="宋体" w:hAnsi="宋体" w:eastAsia="宋体" w:cs="宋体"/>
          <w:color w:val="000000"/>
          <w:kern w:val="0"/>
          <w:sz w:val="21"/>
          <w:szCs w:val="21"/>
        </w:rPr>
        <w:t>=1353600=135.36万元)。</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6、施工总包单位还应向建设单位提交以下文件：</w:t>
      </w:r>
      <w:r>
        <w:rPr>
          <w:rFonts w:hint="eastAsia" w:ascii="宋体" w:hAnsi="宋体" w:eastAsia="宋体" w:cs="宋体"/>
          <w:kern w:val="0"/>
          <w:sz w:val="21"/>
          <w:szCs w:val="21"/>
        </w:rPr>
        <w:t>（估计5分,1项1分，满分5分）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(1)工程竣工验收备案表；</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(2)工程竣工验收报告；</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(3)法律规定应当自公安消防部门出具的对大型人员密集场所和其他特殊建设工程验收合格的证明文件；</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(4)由人防部门出具的验收文件；</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(5)施工单位签署的工程质量保证书；</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(6)法规规章规定必须提供的其他文件。</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（7）住宅工程还应当提交住宅质量保证书和住宅使用说明书</w:t>
      </w:r>
    </w:p>
    <w:p>
      <w:pPr>
        <w:pStyle w:val="7"/>
        <w:widowControl/>
        <w:rPr>
          <w:rFonts w:hint="eastAsia" w:ascii="宋体" w:hAnsi="宋体" w:eastAsia="宋体" w:cs="宋体"/>
          <w:sz w:val="21"/>
          <w:szCs w:val="21"/>
        </w:rPr>
      </w:pPr>
      <w:r>
        <w:rPr>
          <w:rFonts w:hint="eastAsia" w:ascii="宋体" w:hAnsi="宋体" w:eastAsia="宋体" w:cs="宋体"/>
          <w:b/>
          <w:color w:val="000000"/>
          <w:sz w:val="21"/>
          <w:szCs w:val="21"/>
        </w:rPr>
        <w:t>（五）</w:t>
      </w:r>
      <w:r>
        <w:rPr>
          <w:rFonts w:hint="eastAsia" w:ascii="宋体" w:hAnsi="宋体" w:eastAsia="宋体" w:cs="宋体"/>
          <w:b/>
          <w:color w:val="000000"/>
          <w:sz w:val="21"/>
          <w:szCs w:val="21"/>
        </w:rPr>
        <w:br w:type="textWrapping"/>
      </w:r>
      <w:r>
        <w:rPr>
          <w:rFonts w:hint="eastAsia" w:ascii="宋体" w:hAnsi="宋体" w:eastAsia="宋体" w:cs="宋体"/>
          <w:b/>
          <w:color w:val="000000"/>
          <w:sz w:val="21"/>
          <w:szCs w:val="21"/>
        </w:rPr>
        <w:t>背景资料</w:t>
      </w:r>
      <w:r>
        <w:rPr>
          <w:rFonts w:hint="eastAsia" w:ascii="宋体" w:hAnsi="宋体" w:eastAsia="宋体" w:cs="宋体"/>
          <w:b/>
          <w:color w:val="000000"/>
          <w:sz w:val="21"/>
          <w:szCs w:val="21"/>
        </w:rPr>
        <w:br w:type="textWrapping"/>
      </w:r>
      <w:r>
        <w:rPr>
          <w:rFonts w:hint="eastAsia" w:ascii="宋体" w:hAnsi="宋体" w:eastAsia="宋体" w:cs="宋体"/>
          <w:color w:val="000000"/>
          <w:sz w:val="21"/>
          <w:szCs w:val="21"/>
        </w:rPr>
        <w:t>某住宅楼工程，场地占地面积约10000m²，建筑面积约14000m²，地下两层，地上16层，层高2.8m，檐口高47m，结构设计为筏板基础。剪力墙结构，施工总承包单位为外地企业，在本项目所在地设有分公司。</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本工程项目经理组织编制了项目施工组织设计，经分公司技术部经理审核后，报分公司总工程师（公司总工程师授权）审批；由项目技术部门经理主持编制外脚手架（落地式）施工方案，经项目总工程师、总监理工程师、建设单位负责人签字批准实施；</w:t>
      </w:r>
      <w:r>
        <w:rPr>
          <w:rFonts w:hint="eastAsia" w:ascii="宋体" w:hAnsi="宋体" w:eastAsia="宋体" w:cs="宋体"/>
          <w:color w:val="000000"/>
          <w:sz w:val="21"/>
          <w:szCs w:val="21"/>
          <w:shd w:val="clear" w:color="auto" w:fill="FFFFFF"/>
        </w:rPr>
        <w:t>专业承包单位组织编制塔吊安装拆卸方案，按规定经专家论证后，报施工总包单位总工程师、总监理工程师、建设单位负责人签字批准实施</w:t>
      </w:r>
      <w:r>
        <w:rPr>
          <w:rFonts w:hint="eastAsia" w:ascii="宋体" w:hAnsi="宋体" w:eastAsia="宋体" w:cs="宋体"/>
          <w:color w:val="000000"/>
          <w:sz w:val="21"/>
          <w:szCs w:val="21"/>
        </w:rPr>
        <w:t>。</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在施工现场消防技术方案中，临时施工道路（宽4m）与施工（消防）用主水管沿在建住宅楼环状布置，消火栓设在施工道路内侧，据路中线5m，在建住宅楼外边线距道路中线9m，施工用水管计算中，现场施工用水量（q1+q2+q3+q4）为8.5L/S，管网水流速度1.6m/s，漏水损失10%，消防用水量按最小用水量计算。</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根据项目试验计划，项目总工程师会同实验员选定1、3、5、7、9、11、13、16层各留置1组C30混凝土同条件养护试件，试件在浇筑点制作，脱模后放置在下一层楼梯口处，第5层C30混凝土同条件养护试件强度试验结果为28MPa。</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施工过程中发生塔吊倒塌事故，在调查塔吊基础时发现：塔吊基础为6m*6m*0.9m，混凝土强度等级为C20，天然地基持力层承载力特征值（fcu）为130kpa，施工单位仅对地基承载力进行计算，并据此判断满足安全要求。</w:t>
      </w:r>
      <w:r>
        <w:rPr>
          <w:rFonts w:hint="eastAsia" w:ascii="宋体" w:hAnsi="宋体" w:eastAsia="宋体" w:cs="宋体"/>
          <w:color w:val="000000"/>
          <w:sz w:val="21"/>
          <w:szCs w:val="21"/>
        </w:rPr>
        <w:br w:type="textWrapping"/>
      </w:r>
      <w:r>
        <w:rPr>
          <w:rFonts w:hint="eastAsia" w:ascii="宋体" w:hAnsi="宋体" w:eastAsia="宋体" w:cs="宋体"/>
          <w:color w:val="000000"/>
          <w:sz w:val="21"/>
          <w:szCs w:val="21"/>
        </w:rPr>
        <w:t>针对项目发生的塔吊事故，当地建设行政主管部门认定为施工总承包单位的不良行为记录，对其诚信行为记录及时进行了公布、上报，并向施工总承包单位工商注册所在地的建设行政主管部门进行了通报。</w:t>
      </w:r>
    </w:p>
    <w:p>
      <w:pPr>
        <w:widowControl/>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问题</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1.指出项目施工组织设计、外脚手架施工方案、塔吊安装拆卸方案编制、审批的不妥之处，并写出相应的正确做法。</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2.指出施工消防技术方案的不妥之处，并写出相应的正确做法；施工总用水量是多少(单位：</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L/S)施工用水主管的计算管径是多少（单位mm，保留两位小数）？</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3.题中同条件养护试件的做法有何不妥。并写出正确做法，第5层C30混凝土同条件养护试件的强度代表值是多少。</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4.分别指出项目塔吊基础设计计算和构造中的不妥之处。并写出正确做法。</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5.分别写出项目所在地和企业工商注册所在地建设行政主管部门对施工企业诚信行为记录的管理内容有哪些。</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答案及解析：</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1、</w:t>
      </w:r>
      <w:r>
        <w:rPr>
          <w:rFonts w:hint="eastAsia" w:ascii="宋体" w:hAnsi="宋体" w:eastAsia="宋体" w:cs="宋体"/>
          <w:kern w:val="0"/>
          <w:sz w:val="21"/>
          <w:szCs w:val="21"/>
        </w:rPr>
        <w:t>（估计6分）</w:t>
      </w:r>
      <w:r>
        <w:rPr>
          <w:rFonts w:hint="eastAsia" w:ascii="宋体" w:hAnsi="宋体" w:eastAsia="宋体" w:cs="宋体"/>
          <w:color w:val="000000"/>
          <w:kern w:val="0"/>
          <w:sz w:val="21"/>
          <w:szCs w:val="21"/>
        </w:rPr>
        <w:t>（1）不妥之处：本工程项目经理组织编制了施工组织设计，经分公司技术部经理审核后，报分公司总工程师（公司总工程师授权）审批。</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正确做法：应自分公司技术部经理审核，报总公司总工程师审批。</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（2）不妥之处二：自项目技术部经理主持编制外脚手架（落地式）施工方案，经项目总工程师审批。</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正确做法：应自工程项目经理、项目技术负责人或项目专业技术方案师牵头进行编制，报公司质量、技术、安全部门专业技术人员审核后，报分公司和总公司总工程师和总监理工程师审批。</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（3）不妥之处三：专业承包单位组织编制塔吊安装拆卸方案，按规定经专家论证后，报施工总包单位总工程师、总监理工程师、建设单位负责人签字批准实施。</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正确做法：经总包单位组织专家论证后，再报分包单位、总包单位技术负责人、总监理工程师、建设单位负责人签字批准实施。</w:t>
      </w:r>
      <w:r>
        <w:rPr>
          <w:rFonts w:hint="eastAsia" w:ascii="宋体" w:hAnsi="宋体" w:eastAsia="宋体" w:cs="宋体"/>
          <w:kern w:val="0"/>
          <w:sz w:val="21"/>
          <w:szCs w:val="21"/>
        </w:rPr>
        <w:t>（估计1分）</w:t>
      </w:r>
    </w:p>
    <w:p>
      <w:pPr>
        <w:widowControl/>
        <w:numPr>
          <w:ilvl w:val="0"/>
          <w:numId w:val="6"/>
        </w:numPr>
        <w:jc w:val="left"/>
        <w:rPr>
          <w:rFonts w:hint="eastAsia" w:ascii="宋体" w:hAnsi="宋体" w:eastAsia="宋体" w:cs="宋体"/>
          <w:color w:val="000000"/>
          <w:kern w:val="0"/>
          <w:sz w:val="21"/>
          <w:szCs w:val="21"/>
        </w:rPr>
      </w:pPr>
      <w:r>
        <w:rPr>
          <w:rFonts w:hint="eastAsia" w:ascii="宋体" w:hAnsi="宋体" w:eastAsia="宋体" w:cs="宋体"/>
          <w:kern w:val="0"/>
          <w:sz w:val="21"/>
          <w:szCs w:val="21"/>
        </w:rPr>
        <w:t>（估计8分）</w:t>
      </w:r>
      <w:r>
        <w:rPr>
          <w:rFonts w:hint="eastAsia" w:ascii="宋体" w:hAnsi="宋体" w:eastAsia="宋体" w:cs="宋体"/>
          <w:color w:val="000000"/>
          <w:kern w:val="0"/>
          <w:sz w:val="21"/>
          <w:szCs w:val="21"/>
        </w:rPr>
        <w:t>（1）</w:t>
      </w:r>
    </w:p>
    <w:p>
      <w:pPr>
        <w:widowControl/>
        <w:numPr>
          <w:ilvl w:val="0"/>
          <w:numId w:val="7"/>
        </w:numPr>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不妥之处一：消火栓设置在施工道路内侧，距路中线5m。</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正确做法：距路中线5m，</w:t>
      </w:r>
      <w:r>
        <w:rPr>
          <w:rFonts w:hint="eastAsia" w:ascii="宋体" w:hAnsi="宋体" w:eastAsia="宋体" w:cs="宋体"/>
          <w:color w:val="000000"/>
          <w:sz w:val="21"/>
          <w:szCs w:val="21"/>
        </w:rPr>
        <w:t>道路（宽4m），</w:t>
      </w:r>
      <w:r>
        <w:rPr>
          <w:rFonts w:hint="eastAsia" w:ascii="宋体" w:hAnsi="宋体" w:eastAsia="宋体" w:cs="宋体"/>
          <w:color w:val="000000"/>
          <w:kern w:val="0"/>
          <w:sz w:val="21"/>
          <w:szCs w:val="21"/>
        </w:rPr>
        <w:t>消火栓距路边5-2=3m，消火栓距路边不应大于2m</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2）不妥之处二：消火栓在建住宅楼外边线距道路中线9m。</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正确做法：消火栓距拟建房屋9-5=4m，消火栓距拟建房屋不小于5m，且不大于25m。</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kern w:val="0"/>
          <w:sz w:val="21"/>
          <w:szCs w:val="21"/>
        </w:rPr>
        <w:t>（估计4分）</w:t>
      </w:r>
    </w:p>
    <w:p>
      <w:pPr>
        <w:widowControl/>
        <w:numPr>
          <w:ilvl w:val="0"/>
          <w:numId w:val="8"/>
        </w:numPr>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建筑工程消防用水量为10L/S</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t>，且工地面积&lt;50000㎡</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则总用水量：=10L/s，考虑漏水损失为10%，</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则：施工现场总用水量为10×（1+10%）=11L/s</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2)施工用水主管的计算管径为：d=93.58mm（取100mm)</w:t>
      </w:r>
      <w:r>
        <w:rPr>
          <w:rFonts w:hint="eastAsia" w:ascii="宋体" w:hAnsi="宋体" w:eastAsia="宋体" w:cs="宋体"/>
          <w:kern w:val="0"/>
          <w:sz w:val="21"/>
          <w:szCs w:val="21"/>
        </w:rPr>
        <w:t>（估计2分）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3、</w:t>
      </w:r>
      <w:r>
        <w:rPr>
          <w:rFonts w:hint="eastAsia" w:ascii="宋体" w:hAnsi="宋体" w:eastAsia="宋体" w:cs="宋体"/>
          <w:kern w:val="0"/>
          <w:sz w:val="21"/>
          <w:szCs w:val="21"/>
        </w:rPr>
        <w:t>（估计6分）</w:t>
      </w:r>
    </w:p>
    <w:p>
      <w:pPr>
        <w:widowControl/>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(1) 1)不妥之处一：</w:t>
      </w:r>
      <w:r>
        <w:rPr>
          <w:rFonts w:hint="eastAsia" w:ascii="宋体" w:hAnsi="宋体" w:eastAsia="宋体" w:cs="宋体"/>
          <w:color w:val="000000"/>
          <w:sz w:val="21"/>
          <w:szCs w:val="21"/>
        </w:rPr>
        <w:t>项目总工程师会同实验员选定1、3、5、7、9、11、13、16层</w:t>
      </w:r>
      <w:r>
        <w:rPr>
          <w:rFonts w:hint="eastAsia" w:ascii="宋体" w:hAnsi="宋体" w:eastAsia="宋体" w:cs="宋体"/>
          <w:kern w:val="0"/>
          <w:sz w:val="21"/>
          <w:szCs w:val="21"/>
        </w:rPr>
        <w:t>（估计1分）</w:t>
      </w:r>
    </w:p>
    <w:p>
      <w:pPr>
        <w:widowControl/>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正确做法一：每层都要取样</w:t>
      </w:r>
      <w:r>
        <w:rPr>
          <w:rFonts w:hint="eastAsia" w:ascii="宋体" w:hAnsi="宋体" w:eastAsia="宋体" w:cs="宋体"/>
          <w:kern w:val="0"/>
          <w:sz w:val="21"/>
          <w:szCs w:val="21"/>
        </w:rPr>
        <w:t>（估计1分）</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2）不妥之处二：脱模后放置在下层楼梯口处。</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正确做法二：脱模后应放置在浇筑地点旁边。</w:t>
      </w:r>
      <w:r>
        <w:rPr>
          <w:rFonts w:hint="eastAsia" w:ascii="宋体" w:hAnsi="宋体" w:eastAsia="宋体" w:cs="宋体"/>
          <w:kern w:val="0"/>
          <w:sz w:val="21"/>
          <w:szCs w:val="21"/>
        </w:rPr>
        <w:t>（估计1分）</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（2）第五层C30混凝土同条件养护试件的强度代表值是30</w:t>
      </w:r>
      <w:r>
        <w:rPr>
          <w:rFonts w:hint="eastAsia" w:ascii="宋体" w:hAnsi="宋体" w:eastAsia="宋体" w:cs="宋体"/>
          <w:kern w:val="0"/>
          <w:sz w:val="21"/>
          <w:szCs w:val="21"/>
        </w:rPr>
        <w:t>（估计2分）</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r>
        <w:rPr>
          <w:rFonts w:hint="eastAsia" w:ascii="宋体" w:hAnsi="宋体" w:eastAsia="宋体" w:cs="宋体"/>
          <w:kern w:val="0"/>
          <w:sz w:val="21"/>
          <w:szCs w:val="21"/>
        </w:rPr>
        <w:t>（估计4分）</w:t>
      </w:r>
      <w:r>
        <w:rPr>
          <w:rFonts w:hint="eastAsia" w:ascii="宋体" w:hAnsi="宋体" w:eastAsia="宋体" w:cs="宋体"/>
          <w:color w:val="000000"/>
          <w:kern w:val="0"/>
          <w:sz w:val="21"/>
          <w:szCs w:val="21"/>
        </w:rPr>
        <w:t>（1）不妥之处：塔吊的基础为6mx6mx0.9m，混凝土强度等级为C20.</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正确做法：塔吊的基础为6m×6m×0.9m，混凝土强度等级不低于C25</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（2）妥之处二：施工单位仅对地基承载力进行计算。</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正确做法：塔吊的基础也必须经过设计验算</w:t>
      </w:r>
      <w:r>
        <w:rPr>
          <w:rFonts w:hint="eastAsia" w:ascii="宋体" w:hAnsi="宋体" w:eastAsia="宋体" w:cs="宋体"/>
          <w:kern w:val="0"/>
          <w:sz w:val="21"/>
          <w:szCs w:val="21"/>
        </w:rPr>
        <w:t>（估计1分）</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5.</w:t>
      </w:r>
      <w:r>
        <w:rPr>
          <w:rFonts w:hint="eastAsia" w:ascii="宋体" w:hAnsi="宋体" w:eastAsia="宋体" w:cs="宋体"/>
          <w:kern w:val="0"/>
          <w:sz w:val="21"/>
          <w:szCs w:val="21"/>
        </w:rPr>
        <w:t>（估计6分）</w:t>
      </w:r>
      <w:r>
        <w:rPr>
          <w:rFonts w:hint="eastAsia" w:ascii="宋体" w:hAnsi="宋体" w:eastAsia="宋体" w:cs="宋体"/>
          <w:color w:val="000000"/>
          <w:kern w:val="0"/>
          <w:sz w:val="21"/>
          <w:szCs w:val="21"/>
        </w:rPr>
        <w:t>（1）项目所在地建设行政主管部门对施工企业诚信行为记录的管理内容：工程质量、工程安全、合同履约、社会投诉、不良行为</w:t>
      </w:r>
      <w:r>
        <w:rPr>
          <w:rFonts w:hint="eastAsia" w:ascii="宋体" w:hAnsi="宋体" w:eastAsia="宋体" w:cs="宋体"/>
          <w:kern w:val="0"/>
          <w:sz w:val="21"/>
          <w:szCs w:val="21"/>
        </w:rPr>
        <w:t>（估计3分）</w:t>
      </w:r>
    </w:p>
    <w:p>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（2）企业工商注册所在地建设行政主管部门对施工企业诚信行为记录的管理内容</w:t>
      </w:r>
      <w:r>
        <w:rPr>
          <w:rFonts w:hint="eastAsia" w:ascii="宋体" w:hAnsi="宋体" w:eastAsia="宋体" w:cs="宋体"/>
          <w:color w:val="000000"/>
          <w:sz w:val="21"/>
          <w:szCs w:val="21"/>
        </w:rPr>
        <w:t>：企业基本情况、资质、业绩、</w:t>
      </w:r>
      <w:r>
        <w:rPr>
          <w:rFonts w:hint="eastAsia" w:ascii="宋体" w:hAnsi="宋体" w:eastAsia="宋体" w:cs="宋体"/>
          <w:color w:val="000000"/>
          <w:kern w:val="0"/>
          <w:sz w:val="21"/>
          <w:szCs w:val="21"/>
        </w:rPr>
        <w:t>工程质量、工程安全、合同履约、社会投诉、不良行为</w:t>
      </w:r>
      <w:r>
        <w:rPr>
          <w:rFonts w:hint="eastAsia" w:ascii="宋体" w:hAnsi="宋体" w:eastAsia="宋体" w:cs="宋体"/>
          <w:kern w:val="0"/>
          <w:sz w:val="21"/>
          <w:szCs w:val="21"/>
        </w:rPr>
        <w:t>（估计3分）</w:t>
      </w:r>
    </w:p>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 </w:t>
      </w:r>
    </w:p>
    <w:p>
      <w:pPr>
        <w:rPr>
          <w:color w:val="000000" w:themeColor="text1"/>
          <w14:textFill>
            <w14:solidFill>
              <w14:schemeClr w14:val="tx1"/>
            </w14:solidFill>
          </w14:textFill>
        </w:rPr>
      </w:pPr>
    </w:p>
    <w:sectPr>
      <w:headerReference r:id="rId5" w:type="first"/>
      <w:headerReference r:id="rId3" w:type="default"/>
      <w:footerReference r:id="rId6" w:type="default"/>
      <w:headerReference r:id="rId4" w:type="even"/>
      <w:pgSz w:w="11906" w:h="16838"/>
      <w:pgMar w:top="720" w:right="720" w:bottom="720" w:left="720" w:header="34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MS UI Gothic">
    <w:panose1 w:val="020B0600070205080204"/>
    <w:charset w:val="80"/>
    <w:family w:val="auto"/>
    <w:pitch w:val="default"/>
    <w:sig w:usb0="E00002FF" w:usb1="6AC7FDFB" w:usb2="08000012" w:usb3="00000000" w:csb0="4002009F" w:csb1="DFD70000"/>
  </w:font>
  <w:font w:name="MV Boli">
    <w:panose1 w:val="02000500030200090000"/>
    <w:charset w:val="00"/>
    <w:family w:val="auto"/>
    <w:pitch w:val="default"/>
    <w:sig w:usb0="00000003" w:usb1="00000000" w:usb2="000001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DejaVu Sans">
    <w:altName w:val="Courier New"/>
    <w:panose1 w:val="00000000000000000000"/>
    <w:charset w:val="00"/>
    <w:family w:val="auto"/>
    <w:pitch w:val="default"/>
    <w:sig w:usb0="00000000" w:usb1="00000000" w:usb2="00000000" w:usb3="00000000" w:csb0="00040001" w:csb1="00000000"/>
  </w:font>
  <w:font w:name="PingFang SC">
    <w:altName w:val="Courier New"/>
    <w:panose1 w:val="00000000000000000000"/>
    <w:charset w:val="00"/>
    <w:family w:val="auto"/>
    <w:pitch w:val="default"/>
    <w:sig w:usb0="00000000"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黑体">
    <w:panose1 w:val="02010609060101010101"/>
    <w:charset w:val="50"/>
    <w:family w:val="auto"/>
    <w:pitch w:val="default"/>
    <w:sig w:usb0="800002BF" w:usb1="38CF7CFA" w:usb2="00000016" w:usb3="00000000" w:csb0="00040001" w:csb1="00000000"/>
  </w:font>
  <w:font w:name="MS Gothic">
    <w:panose1 w:val="020B0609070205080204"/>
    <w:charset w:val="4E"/>
    <w:family w:val="auto"/>
    <w:pitch w:val="default"/>
    <w:sig w:usb0="E00002FF" w:usb1="6AC7FDFB" w:usb2="08000012" w:usb3="00000000" w:csb0="4002009F" w:csb1="DFD70000"/>
  </w:font>
  <w:font w:name="ＭＳ 明朝">
    <w:altName w:val="Segoe Print"/>
    <w:panose1 w:val="00000000000000000000"/>
    <w:charset w:val="4E"/>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9DF1B"/>
    <w:multiLevelType w:val="singleLevel"/>
    <w:tmpl w:val="57E9DF1B"/>
    <w:lvl w:ilvl="0" w:tentative="0">
      <w:start w:val="3"/>
      <w:numFmt w:val="chineseCounting"/>
      <w:suff w:val="nothing"/>
      <w:lvlText w:val="%1、"/>
      <w:lvlJc w:val="left"/>
    </w:lvl>
  </w:abstractNum>
  <w:abstractNum w:abstractNumId="1">
    <w:nsid w:val="57E9E62D"/>
    <w:multiLevelType w:val="singleLevel"/>
    <w:tmpl w:val="57E9E62D"/>
    <w:lvl w:ilvl="0" w:tentative="0">
      <w:start w:val="2"/>
      <w:numFmt w:val="decimal"/>
      <w:suff w:val="nothing"/>
      <w:lvlText w:val="%1）"/>
      <w:lvlJc w:val="left"/>
    </w:lvl>
  </w:abstractNum>
  <w:abstractNum w:abstractNumId="2">
    <w:nsid w:val="57E9EF2F"/>
    <w:multiLevelType w:val="singleLevel"/>
    <w:tmpl w:val="57E9EF2F"/>
    <w:lvl w:ilvl="0" w:tentative="0">
      <w:start w:val="1"/>
      <w:numFmt w:val="decimal"/>
      <w:suff w:val="nothing"/>
      <w:lvlText w:val="%1）"/>
      <w:lvlJc w:val="left"/>
    </w:lvl>
  </w:abstractNum>
  <w:abstractNum w:abstractNumId="3">
    <w:nsid w:val="57E9FD4D"/>
    <w:multiLevelType w:val="singleLevel"/>
    <w:tmpl w:val="57E9FD4D"/>
    <w:lvl w:ilvl="0" w:tentative="0">
      <w:start w:val="2"/>
      <w:numFmt w:val="decimal"/>
      <w:suff w:val="nothing"/>
      <w:lvlText w:val="（%1）"/>
      <w:lvlJc w:val="left"/>
    </w:lvl>
  </w:abstractNum>
  <w:abstractNum w:abstractNumId="4">
    <w:nsid w:val="57EA0ADD"/>
    <w:multiLevelType w:val="singleLevel"/>
    <w:tmpl w:val="57EA0ADD"/>
    <w:lvl w:ilvl="0" w:tentative="0">
      <w:start w:val="2"/>
      <w:numFmt w:val="decimal"/>
      <w:suff w:val="nothing"/>
      <w:lvlText w:val="%1、"/>
      <w:lvlJc w:val="left"/>
    </w:lvl>
  </w:abstractNum>
  <w:abstractNum w:abstractNumId="5">
    <w:nsid w:val="57EA0AF5"/>
    <w:multiLevelType w:val="singleLevel"/>
    <w:tmpl w:val="57EA0AF5"/>
    <w:lvl w:ilvl="0" w:tentative="0">
      <w:start w:val="1"/>
      <w:numFmt w:val="decimal"/>
      <w:suff w:val="nothing"/>
      <w:lvlText w:val="%1）"/>
      <w:lvlJc w:val="left"/>
    </w:lvl>
  </w:abstractNum>
  <w:abstractNum w:abstractNumId="6">
    <w:nsid w:val="57EA0BCB"/>
    <w:multiLevelType w:val="singleLevel"/>
    <w:tmpl w:val="57EA0BCB"/>
    <w:lvl w:ilvl="0" w:tentative="0">
      <w:start w:val="1"/>
      <w:numFmt w:val="decimal"/>
      <w:suff w:val="nothing"/>
      <w:lvlText w:val="%1)"/>
      <w:lvlJc w:val="left"/>
    </w:lvl>
  </w:abstractNum>
  <w:abstractNum w:abstractNumId="7">
    <w:nsid w:val="57EA247C"/>
    <w:multiLevelType w:val="singleLevel"/>
    <w:tmpl w:val="57EA247C"/>
    <w:lvl w:ilvl="0" w:tentative="0">
      <w:start w:val="2"/>
      <w:numFmt w:val="decimal"/>
      <w:suff w:val="nothing"/>
      <w:lvlText w:val="（%1）"/>
      <w:lvlJc w:val="left"/>
    </w:lvl>
  </w:abstractNum>
  <w:num w:numId="1">
    <w:abstractNumId w:val="0"/>
  </w:num>
  <w:num w:numId="2">
    <w:abstractNumId w:val="1"/>
  </w:num>
  <w:num w:numId="3">
    <w:abstractNumId w:val="2"/>
  </w:num>
  <w:num w:numId="4">
    <w:abstractNumId w:val="3"/>
  </w:num>
  <w:num w:numId="5">
    <w:abstractNumId w:val="7"/>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E176C"/>
    <w:rsid w:val="00346707"/>
    <w:rsid w:val="0035267B"/>
    <w:rsid w:val="00482EEE"/>
    <w:rsid w:val="00611655"/>
    <w:rsid w:val="00677F79"/>
    <w:rsid w:val="00690A0D"/>
    <w:rsid w:val="00776125"/>
    <w:rsid w:val="007768FD"/>
    <w:rsid w:val="007D1165"/>
    <w:rsid w:val="008173E2"/>
    <w:rsid w:val="008D1CE2"/>
    <w:rsid w:val="00A43836"/>
    <w:rsid w:val="00A66CC1"/>
    <w:rsid w:val="00B356CB"/>
    <w:rsid w:val="00B54A83"/>
    <w:rsid w:val="00B96415"/>
    <w:rsid w:val="00C41609"/>
    <w:rsid w:val="00CE0A35"/>
    <w:rsid w:val="00E80697"/>
    <w:rsid w:val="00F56076"/>
    <w:rsid w:val="0F80133A"/>
    <w:rsid w:val="2DCA0958"/>
    <w:rsid w:val="399A2A09"/>
    <w:rsid w:val="46210286"/>
    <w:rsid w:val="65846593"/>
    <w:rsid w:val="738623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微软雅黑" w:hAnsi="宋体" w:eastAsia="微软雅黑" w:cs="宋体"/>
      <w:kern w:val="36"/>
      <w:sz w:val="48"/>
      <w:szCs w:val="48"/>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yperlink" Target="http://www.233.com/shouji233/" TargetMode="Externa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jpe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D2EDA-1AC1-4691-8DBA-3DBD59064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2398</Words>
  <Characters>13672</Characters>
  <Lines>113</Lines>
  <Paragraphs>32</Paragraphs>
  <ScaleCrop>false</ScaleCrop>
  <LinksUpToDate>false</LinksUpToDate>
  <CharactersWithSpaces>16038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2017-05-08T03:34:00Z</dcterms:created>
  <dc:creator>llllu</dc:creator>
  <cp:lastModifiedBy>wx233-editer</cp:lastModifiedBy>
  <dcterms:modified xsi:type="dcterms:W3CDTF">2017-08-16T08:48:24Z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