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pStyle w:val="2"/>
        <w:spacing w:line="540" w:lineRule="atLeast"/>
        <w:jc w:val="center"/>
        <w:rPr>
          <w:rFonts w:hint="eastAsia" w:ascii="黑体" w:hAnsi="Arial" w:eastAsia="黑体" w:cs="Arial"/>
          <w:b/>
          <w:bCs/>
          <w:color w:val="000000" w:themeColor="text1"/>
          <w:sz w:val="28"/>
          <w:szCs w:val="28"/>
          <w14:textFill>
            <w14:solidFill>
              <w14:schemeClr w14:val="tx1"/>
            </w14:solidFill>
          </w14:textFill>
        </w:rPr>
      </w:pPr>
      <w:r>
        <w:rPr>
          <w:rFonts w:hint="eastAsia" w:ascii="黑体" w:hAnsi="Arial" w:eastAsia="黑体" w:cs="Arial"/>
          <w:b/>
          <w:bCs/>
          <w:color w:val="000000" w:themeColor="text1"/>
          <w:sz w:val="28"/>
          <w:szCs w:val="28"/>
          <w:lang w:val="en-US" w:eastAsia="zh-CN"/>
          <w14:textFill>
            <w14:solidFill>
              <w14:schemeClr w14:val="tx1"/>
            </w14:solidFill>
          </w14:textFill>
        </w:rPr>
        <w:t>233网校</w:t>
      </w:r>
      <w:r>
        <w:rPr>
          <w:rFonts w:hint="eastAsia" w:ascii="黑体" w:hAnsi="Arial" w:eastAsia="黑体" w:cs="Arial"/>
          <w:b/>
          <w:bCs/>
          <w:color w:val="000000" w:themeColor="text1"/>
          <w:sz w:val="28"/>
          <w:szCs w:val="28"/>
          <w14:textFill>
            <w14:solidFill>
              <w14:schemeClr w14:val="tx1"/>
            </w14:solidFill>
          </w14:textFill>
        </w:rPr>
        <w:t>2016年一级建造师水利水电工程考试真题及答案</w:t>
      </w:r>
    </w:p>
    <w:p>
      <w:pPr>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有疑问，看名师视频解读，真题解析版免费开放：</w:t>
      </w:r>
    </w:p>
    <w:p>
      <w:pPr>
        <w:rPr>
          <w:rFonts w:hint="eastAsia" w:ascii="微软雅黑" w:hAnsi="微软雅黑" w:eastAsia="微软雅黑" w:cs="微软雅黑"/>
          <w:lang w:val="en-US" w:eastAsia="zh-CN"/>
        </w:rPr>
      </w:pPr>
      <w:r>
        <w:rPr>
          <w:rFonts w:hint="eastAsia" w:ascii="微软雅黑" w:hAnsi="微软雅黑" w:eastAsia="微软雅黑" w:cs="微软雅黑"/>
          <w:b/>
          <w:bCs/>
          <w:lang w:val="en-US" w:eastAsia="zh-CN"/>
        </w:rPr>
        <w:fldChar w:fldCharType="begin"/>
      </w:r>
      <w:r>
        <w:rPr>
          <w:rFonts w:hint="eastAsia" w:ascii="微软雅黑" w:hAnsi="微软雅黑" w:eastAsia="微软雅黑" w:cs="微软雅黑"/>
          <w:b/>
          <w:bCs/>
          <w:lang w:val="en-US" w:eastAsia="zh-CN"/>
        </w:rPr>
        <w:instrText xml:space="preserve"> HYPERLINK "http://wx.233.com/search/v1/study/zhenti?cid=335&amp;isshow=1" </w:instrText>
      </w:r>
      <w:r>
        <w:rPr>
          <w:rFonts w:hint="eastAsia" w:ascii="微软雅黑" w:hAnsi="微软雅黑" w:eastAsia="微软雅黑" w:cs="微软雅黑"/>
          <w:b/>
          <w:bCs/>
          <w:lang w:val="en-US" w:eastAsia="zh-CN"/>
        </w:rPr>
        <w:fldChar w:fldCharType="separate"/>
      </w:r>
      <w:r>
        <w:rPr>
          <w:rStyle w:val="10"/>
          <w:rFonts w:hint="eastAsia" w:ascii="微软雅黑" w:hAnsi="微软雅黑" w:eastAsia="微软雅黑" w:cs="微软雅黑"/>
          <w:b/>
          <w:bCs/>
          <w:lang w:val="en-US" w:eastAsia="zh-CN"/>
        </w:rPr>
        <w:t>http://wx.233.com/search/v1/study/zhenti?cid=335&amp;isshow=1</w:t>
      </w:r>
      <w:r>
        <w:rPr>
          <w:rFonts w:hint="eastAsia" w:ascii="微软雅黑" w:hAnsi="微软雅黑" w:eastAsia="微软雅黑" w:cs="微软雅黑"/>
          <w:b/>
          <w:bCs/>
          <w:lang w:val="en-US" w:eastAsia="zh-CN"/>
        </w:rPr>
        <w:fldChar w:fldCharType="end"/>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233网校考后及时公布2017年一级建造师考试真题及答案，请关注网站首页：</w:t>
      </w:r>
      <w:r>
        <w:rPr>
          <w:rFonts w:hint="eastAsia" w:ascii="微软雅黑" w:hAnsi="微软雅黑" w:eastAsia="微软雅黑" w:cs="微软雅黑"/>
          <w:lang w:val="en-US" w:eastAsia="zh-CN"/>
        </w:rPr>
        <w:fldChar w:fldCharType="begin"/>
      </w:r>
      <w:r>
        <w:rPr>
          <w:rFonts w:hint="eastAsia" w:ascii="微软雅黑" w:hAnsi="微软雅黑" w:eastAsia="微软雅黑" w:cs="微软雅黑"/>
          <w:lang w:val="en-US" w:eastAsia="zh-CN"/>
        </w:rPr>
        <w:instrText xml:space="preserve"> HYPERLINK "http://www.233.com/jzs1/" </w:instrText>
      </w:r>
      <w:r>
        <w:rPr>
          <w:rFonts w:hint="eastAsia" w:ascii="微软雅黑" w:hAnsi="微软雅黑" w:eastAsia="微软雅黑" w:cs="微软雅黑"/>
          <w:lang w:val="en-US" w:eastAsia="zh-CN"/>
        </w:rPr>
        <w:fldChar w:fldCharType="separate"/>
      </w:r>
      <w:r>
        <w:rPr>
          <w:rStyle w:val="10"/>
          <w:rFonts w:hint="eastAsia" w:ascii="微软雅黑" w:hAnsi="微软雅黑" w:eastAsia="微软雅黑" w:cs="微软雅黑"/>
          <w:lang w:val="en-US" w:eastAsia="zh-CN"/>
        </w:rPr>
        <w:t>http://www.233.com/jzs1/</w:t>
      </w:r>
      <w:r>
        <w:rPr>
          <w:rFonts w:hint="eastAsia" w:ascii="微软雅黑" w:hAnsi="微软雅黑" w:eastAsia="微软雅黑" w:cs="微软雅黑"/>
          <w:lang w:val="en-US" w:eastAsia="zh-CN"/>
        </w:rPr>
        <w:fldChar w:fldCharType="end"/>
      </w:r>
    </w:p>
    <w:p>
      <w:pPr>
        <w:jc w:val="center"/>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扫码下载233网校APP，考后及时对答案！</w:t>
      </w:r>
    </w:p>
    <w:p>
      <w:pPr>
        <w:jc w:val="center"/>
        <w:rPr>
          <w:rFonts w:hint="eastAsia" w:eastAsia="黑体"/>
          <w:lang w:val="en-US" w:eastAsia="zh-CN"/>
        </w:rPr>
      </w:pPr>
      <w:r>
        <w:rPr>
          <w:rFonts w:hint="eastAsia" w:ascii="微软雅黑" w:hAnsi="微软雅黑" w:eastAsia="微软雅黑" w:cs="微软雅黑"/>
          <w:b w:val="0"/>
          <w:i w:val="0"/>
          <w:caps w:val="0"/>
          <w:color w:val="333333"/>
          <w:spacing w:val="0"/>
          <w:sz w:val="18"/>
          <w:szCs w:val="18"/>
          <w:u w:val="none"/>
          <w:bdr w:val="none" w:color="auto" w:sz="0" w:space="0"/>
        </w:rPr>
        <w:drawing>
          <wp:inline distT="0" distB="0" distL="114300" distR="114300">
            <wp:extent cx="3391535" cy="1495425"/>
            <wp:effectExtent l="0" t="0" r="18415" b="9525"/>
            <wp:docPr id="11" name="图片 3" descr="IMG_25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IMG_256"/>
                    <pic:cNvPicPr>
                      <a:picLocks noChangeAspect="1"/>
                    </pic:cNvPicPr>
                  </pic:nvPicPr>
                  <pic:blipFill>
                    <a:blip r:embed="rId9"/>
                    <a:stretch>
                      <a:fillRect/>
                    </a:stretch>
                  </pic:blipFill>
                  <pic:spPr>
                    <a:xfrm>
                      <a:off x="0" y="0"/>
                      <a:ext cx="3391535" cy="1495425"/>
                    </a:xfrm>
                    <a:prstGeom prst="rect">
                      <a:avLst/>
                    </a:prstGeom>
                    <a:noFill/>
                    <a:ln w="9525">
                      <a:noFill/>
                    </a:ln>
                  </pic:spPr>
                </pic:pic>
              </a:graphicData>
            </a:graphic>
          </wp:inline>
        </w:drawing>
      </w:r>
      <w:bookmarkStart w:id="0" w:name="_GoBack"/>
      <w:bookmarkEnd w:id="0"/>
    </w:p>
    <w:p>
      <w:pPr>
        <w:widowControl/>
        <w:spacing w:before="75" w:after="75" w:line="360" w:lineRule="auto"/>
        <w:jc w:val="left"/>
        <w:rPr>
          <w:rFonts w:hint="eastAsia" w:ascii="黑体" w:hAnsi="宋体" w:eastAsia="黑体" w:cs="宋体"/>
          <w:color w:val="000000" w:themeColor="text1"/>
          <w:kern w:val="0"/>
          <w:sz w:val="21"/>
          <w:szCs w:val="21"/>
          <w14:textFill>
            <w14:solidFill>
              <w14:schemeClr w14:val="tx1"/>
            </w14:solidFill>
          </w14:textFill>
        </w:rPr>
      </w:pPr>
      <w:r>
        <w:rPr>
          <w:rFonts w:hint="eastAsia" w:ascii="黑体" w:hAnsi="宋体" w:eastAsia="黑体" w:cs="宋体"/>
          <w:color w:val="000000" w:themeColor="text1"/>
          <w:kern w:val="0"/>
          <w:sz w:val="21"/>
          <w:szCs w:val="21"/>
          <w14:textFill>
            <w14:solidFill>
              <w14:schemeClr w14:val="tx1"/>
            </w14:solidFill>
          </w14:textFill>
        </w:rPr>
        <w:t>一、单项选择题(共20题，每题1分。每题的备选项中，只有1个最符合题意)</w:t>
      </w:r>
    </w:p>
    <w:p>
      <w:pPr>
        <w:widowControl/>
        <w:spacing w:before="75" w:after="75"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1.下列施工放样的资料中，属于放样数据计算依据的是()。</w:t>
      </w:r>
    </w:p>
    <w:p>
      <w:pPr>
        <w:widowControl/>
        <w:spacing w:before="75" w:after="75"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A.放样数据手册　　</w:t>
      </w:r>
    </w:p>
    <w:p>
      <w:pPr>
        <w:widowControl/>
        <w:spacing w:before="75" w:after="75"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B.控制点成果</w:t>
      </w:r>
    </w:p>
    <w:p>
      <w:pPr>
        <w:widowControl/>
        <w:spacing w:before="75" w:after="75"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C.放样手薄    　　</w:t>
      </w:r>
    </w:p>
    <w:p>
      <w:pPr>
        <w:widowControl/>
        <w:spacing w:before="75" w:after="75"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D.测量数据</w:t>
      </w:r>
    </w:p>
    <w:p>
      <w:pPr>
        <w:widowControl/>
        <w:spacing w:before="75" w:after="75"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答案：D</w:t>
      </w:r>
    </w:p>
    <w:p>
      <w:pPr>
        <w:widowControl/>
        <w:spacing w:before="75" w:after="75"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2.下列围堰类型中，可以与永久建筑物相结合并作为其组成部分的是()。</w:t>
      </w:r>
    </w:p>
    <w:p>
      <w:pPr>
        <w:widowControl/>
        <w:spacing w:before="75" w:after="75"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A.土石围堰   　　</w:t>
      </w:r>
    </w:p>
    <w:p>
      <w:pPr>
        <w:widowControl/>
        <w:spacing w:before="75" w:after="75"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B.草土围堰</w:t>
      </w:r>
    </w:p>
    <w:p>
      <w:pPr>
        <w:widowControl/>
        <w:spacing w:before="75" w:after="75"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C.木笼围堰   　　</w:t>
      </w:r>
    </w:p>
    <w:p>
      <w:pPr>
        <w:widowControl/>
        <w:spacing w:before="75" w:after="75"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D.竹笼围堰</w:t>
      </w:r>
    </w:p>
    <w:p>
      <w:pPr>
        <w:widowControl/>
        <w:spacing w:before="75" w:after="75"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答案：A</w:t>
      </w:r>
    </w:p>
    <w:p>
      <w:pPr>
        <w:widowControl/>
        <w:spacing w:before="75" w:after="75" w:line="360" w:lineRule="auto"/>
        <w:jc w:val="left"/>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3.如图所示，弯曲河段修建进水闸，闸址宜选择在()处。</w:t>
      </w:r>
    </w:p>
    <w:p>
      <w:pPr>
        <w:widowControl/>
        <w:spacing w:line="360" w:lineRule="auto"/>
        <w:jc w:val="left"/>
        <w:rPr>
          <w:rFonts w:ascii="宋体" w:hAnsi="宋体" w:cs="宋体"/>
          <w:color w:val="000000" w:themeColor="text1"/>
          <w:kern w:val="0"/>
          <w:sz w:val="21"/>
          <w:szCs w:val="21"/>
          <w14:textFill>
            <w14:solidFill>
              <w14:schemeClr w14:val="tx1"/>
            </w14:solidFill>
          </w14:textFill>
        </w:rPr>
      </w:pPr>
      <w:r>
        <w:rPr>
          <w:rFonts w:ascii="宋体" w:hAnsi="宋体" w:cs="宋体"/>
          <w:color w:val="000000" w:themeColor="text1"/>
          <w:kern w:val="0"/>
          <w:sz w:val="21"/>
          <w:szCs w:val="21"/>
          <w14:textFill>
            <w14:solidFill>
              <w14:schemeClr w14:val="tx1"/>
            </w14:solidFill>
          </w14:textFill>
        </w:rPr>
        <w:fldChar w:fldCharType="begin"/>
      </w:r>
      <w:r>
        <w:rPr>
          <w:rFonts w:ascii="宋体" w:hAnsi="宋体" w:cs="宋体"/>
          <w:color w:val="000000" w:themeColor="text1"/>
          <w:kern w:val="0"/>
          <w:sz w:val="21"/>
          <w:szCs w:val="21"/>
          <w14:textFill>
            <w14:solidFill>
              <w14:schemeClr w14:val="tx1"/>
            </w14:solidFill>
          </w14:textFill>
        </w:rPr>
        <w:instrText xml:space="preserve"> INCLUDEPICTURE "http://www.examw.com/jzs1/Files/2016-9/19/919468915.jpg" \* MERGEFORMATINET </w:instrText>
      </w:r>
      <w:r>
        <w:rPr>
          <w:rFonts w:ascii="宋体" w:hAnsi="宋体" w:cs="宋体"/>
          <w:color w:val="000000" w:themeColor="text1"/>
          <w:kern w:val="0"/>
          <w:sz w:val="21"/>
          <w:szCs w:val="21"/>
          <w14:textFill>
            <w14:solidFill>
              <w14:schemeClr w14:val="tx1"/>
            </w14:solidFill>
          </w14:textFill>
        </w:rPr>
        <w:fldChar w:fldCharType="separate"/>
      </w:r>
      <w:r>
        <w:rPr>
          <w:rFonts w:ascii="宋体" w:hAnsi="宋体" w:cs="宋体"/>
          <w:color w:val="000000" w:themeColor="text1"/>
          <w:kern w:val="0"/>
          <w:sz w:val="21"/>
          <w:szCs w:val="21"/>
          <w14:textFill>
            <w14:solidFill>
              <w14:schemeClr w14:val="tx1"/>
            </w14:solidFill>
          </w14:textFill>
        </w:rPr>
        <w:drawing>
          <wp:inline distT="0" distB="0" distL="114300" distR="114300">
            <wp:extent cx="2265680" cy="1280160"/>
            <wp:effectExtent l="0" t="0" r="1270" b="15240"/>
            <wp:docPr id="6" name="图片 1" descr="2016一级建造师《水利水电》考试真题答案(正在更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2016一级建造师《水利水电》考试真题答案(正在更新)"/>
                    <pic:cNvPicPr>
                      <a:picLocks noChangeAspect="1"/>
                    </pic:cNvPicPr>
                  </pic:nvPicPr>
                  <pic:blipFill>
                    <a:blip r:embed="rId10" r:link="rId11"/>
                    <a:stretch>
                      <a:fillRect/>
                    </a:stretch>
                  </pic:blipFill>
                  <pic:spPr>
                    <a:xfrm>
                      <a:off x="0" y="0"/>
                      <a:ext cx="2265680" cy="1280160"/>
                    </a:xfrm>
                    <a:prstGeom prst="rect">
                      <a:avLst/>
                    </a:prstGeom>
                    <a:noFill/>
                    <a:ln w="9525">
                      <a:noFill/>
                    </a:ln>
                  </pic:spPr>
                </pic:pic>
              </a:graphicData>
            </a:graphic>
          </wp:inline>
        </w:drawing>
      </w:r>
      <w:r>
        <w:rPr>
          <w:rFonts w:ascii="宋体" w:hAnsi="宋体" w:cs="宋体"/>
          <w:color w:val="000000" w:themeColor="text1"/>
          <w:kern w:val="0"/>
          <w:sz w:val="21"/>
          <w:szCs w:val="21"/>
          <w14:textFill>
            <w14:solidFill>
              <w14:schemeClr w14:val="tx1"/>
            </w14:solidFill>
          </w14:textFill>
        </w:rPr>
        <w:fldChar w:fldCharType="end"/>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 xml:space="preserve">A.1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B.2</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 xml:space="preserve">C.3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D.4</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答案：B</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4.某疏浚工程施工的排泥方式是经过排泥管输运泥浆至排泥区，相应的挖泥船类型为()。</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A.绞吸式挖泥船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B.链斗式挖泥船</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C.铲扬式挖泥船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D.耙吸式挖泥船</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答案：A</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5.重要建筑物附近的基坑岩石采用爆破开挖时，应先进行()。</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A.浅孔爆破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B.深孔爆破</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C.预裂爆破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D.光面爆破</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答案：C</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6.下列材料用量对比关系中，不属于混凝土配合比的是()。</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A.砂率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B.水胶比</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C.浆骨比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D.水砂比</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答案：D</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7.下列水泵类型中，不属于叶片泵的是()。</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A.离心泵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B.轴流泵</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C.混流泵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D.容积泵</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答案：D</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8.下列抢护原则中，不适用于堤防防汛抢险施工的是()。</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 xml:space="preserve">A.前导后堵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B.强身固脚</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 xml:space="preserve">C.减载平压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D.缓流消浪</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答案：A</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9.质量保证金最高限额为合同总价的()</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A.3%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B.5%</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C.8%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D.10%</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答案】B</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10.项目后评价应分为()个层次进行。</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A.二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B.三</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C.四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D.五</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答案】B</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11.使用天然砂石料时，三级配碾压混凝土的砂率为()</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A.22%~28%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B.28%~32%</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C.32%~37%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D.37%~42%</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答案】B</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12.堤防横断面上的地面坡度应削至缓于()</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A.1:3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B.1:4</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C.1:5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D.1:6</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答案】C</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13.下列不属于水电工程阶段验收的是()</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A.工程截流验收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B.工程蓄水验收</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C.机组启动验收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D.部分工程投入使用验收</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答案】D</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14.水利工程重大设计变更应报()批准。</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A.原设计单位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B.原可行性研究报告批准部门</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C.项目主管部门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D.原初步设计审批部门</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答案】D</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15.重新招标时，投标人少于3家，可经()同意后不进行招标。</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A.当地人民政府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B.水行政主管部门</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C.行政监督部门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D.项目主管部门</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答案】C</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16.下列水利水电建造师施工管理签章文件中不属于验收管理文件的是()</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A.法人验收质量结论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B.验收申请报告</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C.施工管理工作报告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D.验收鉴定书</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答案】D</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17.下列需要到水行政主管部门办理水工程规划同意书的是()</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A.铺设跨河电缆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B.架设跨河管道</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 xml:space="preserve">C.修建码头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D.修建水闸</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答案】D</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18.承包人提出索赔要求，发包人()天内就予以答复。</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A.7天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B.14天</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C.28天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D.42天</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答案】C</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19.水电工程重大质量事故就由()组织进行调查。</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A.监理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B.项目法人</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C.项目主管部门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D.质量监督总站</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答案】D</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20.质量缺陷备案表应该由()组织填写。</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A.施工单位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B.建设单位</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C.监理单位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D.原初步设计审批部门</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答案】C</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二、多项选择题(共10题，每题2分。每题的备选项中，有2个或2个以上符合题意，至少有1个错项。错选，本题不得分；少选，所选的每个选项得0.5分)</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21.水利部近日印发《贯彻质量发展纲要提升水利工程质量的实施意见》(以下简称《实施意见》)，要求到2020年水利工程建设(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A.水利工程建设质量全面提升</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B.人民群众对水利工程质量(特别是民生水利工程质量)满意度明显提高</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C.达到国际先进水平</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D.大型水利工程项目一次验收合格率达到98%</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E.中小型工程项目一次验收合格率达到100%</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答案】ABC</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22.水泥混凝土面板堆石坝的垫层料压实干密度测量方法有()</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A.环刀法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B.挖坑灌水法</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C.挖坑灌砂法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D.试坑法</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E.核子密度仪法</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答案】BCE</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23.围堰基坑经常性排水包括()</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A.堰身渗水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B.覆盖层含水</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C.施工弃水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D.基坑积水</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E.排水期间降水</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答案】ABCE</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24.工程施工总工期包括()</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A.工程筹建期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B.工程准备期</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C.主体工程施工期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D.工程完建期</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E.试运行期</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答案】BCD</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25. 根据《关于鼓励和引导社会资本参与重大水利工程建设运营的实施意见》（发改农经[2015]488号），社会资本参与重大水利工程建设运营，原则上按()进行合理分摊和筹措。</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A.投资额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B.功能</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C.建设成本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D.效益</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E. 财政承受能力</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答案】BD</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26.水利工程建设项目施工监理实施阶段开工条件控制包括()</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A.签发开工通知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B.分部工程开工</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C.分项工程开工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D.单元工程开工</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E.混凝土浇筑开仓</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答案】ABDE</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27.对建设项目的稽察，主要包括()</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 项目前期与设计工作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B.项目建设管理</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 xml:space="preserve">C.工程质量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D.资金使用</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E. 项目运行管理</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答案】ABCD</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28.根据现行有关规定，实行注册管理的人员有（）。</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A.水利工程一级建造师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B.水利工程监理工程师</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C.水利工程造价工程师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D.岩土工程师</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E.监理员</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答案】AD</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29.下列水利工程建设阶段中属于立项过程的是()</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A.项目规划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B.项目建议书</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C.可行性研究报告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D.初步设计</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E.招标设计</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答案】BC</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30.水闸的混凝土施工原则有()</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A.先浅后深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B.先重后轻</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C.先高后矮　</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D.先主后次</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E.先上游后下游</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答案】BCD</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三、案例分析题(共5 题，(一)、(二)、(三)题各20分，(四)、(五)题各30分)</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案例(一)</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背景资料：</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某水库枢纽工程由大坝、溢洪道、电站及灌溉引水洞等建筑物组成。水库总库容2.6×108m³，电站装机容量12万kW；大坝为碾压土石坝，最大坝高37米；灌溉引水洞引水流量45m3/s；溢洪道控制段共3孔，每孔净宽8.0m，采用平面钢闸门配卷扬式启闭机。某施工单位承担该枢纽工程施工，工程施工过程中发生如下事件：</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事件1：为加强工程施工安全生产管理，施工单位在施工现场配备了专职安全生产管理人员，并明确了本项目的安全施工责任人。</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事件2：某天夜间施工时，一名工人不慎从距离地面16.0m高的脚手架上坠地死亡。事故发生后，项目法人立即组织联合调查组对事故进行调查，并根据水利部《贯彻质量发展纲要提升水利工程质量的实施意见》 (水建管 [2012] 581号)中的"四不放过"原则进行处理。</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事件3：电站基坑开挖前，施工单位编制了施工措施计划，其部分内容如下：</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(1) 施工用电由系统电网接入，现场安装变压器一台；</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(2) 基坑采用1：1. 5坡比明挖施工，基坑深度9.5m；</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(3) 站房墩墙施工采用钢管脚手架支撑，中间设施工通道；</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(4) 混凝土浇筑采用塔式起重机进行垂直运输。</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【问题】</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1.说明本水库工程的规模、等别及项目负责人应具有的建造师级别。</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2.根据《水利工程建设安全生产管理规定》，事件1中本项目的安全施工责任人是谁?专职安全生产管理人员的职责是什么?</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3.简要说明什么是高处作业，指出事件2中高处作业的级别和种类。</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4.说明事件2中“四不放过”原则的具体要求。</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5.在事件3中涉及的工程部位中，哪些应设置安全警示标志?</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宋体" w:hAnsi="宋体" w:cs="宋体"/>
          <w:color w:val="000000" w:themeColor="text1"/>
          <w:kern w:val="0"/>
          <w:sz w:val="21"/>
          <w:szCs w:val="21"/>
          <w14:textFill>
            <w14:solidFill>
              <w14:schemeClr w14:val="tx1"/>
            </w14:solidFill>
          </w14:textFill>
        </w:rPr>
        <w:t>答案】</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1.本水库工程规模为大(2)型，工程等级为Ⅱ等，项目负责人应具有水利水电工程专业一级注册建造师。</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2.安全施工责任人是项目经理(或项目负责人)。</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专职安全员的职责是：(1)负责对安全生产进行现场监督检查；(2)发现生产安全事故隐患，应当及时向项目负责人和安全生产管理机构报告；(3)对违章指挥、违章操作的，应当立即制止。</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3.凡在坠落高度基准面2m和2m以上有可能坠落的高处进行作业，均称为高处作业。事件2中高处作业的级别为三级高处作业，种类是特殊高处作业中的夜间高处作业。</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4.“四不放过”原则的具体要求为：(1)事故原因不查清楚不放过；(2)主要事故责任者和职工未受到教育不放过；(3)补救和防范措施不落实不放过；(4)责任人员未受到处理不放过。</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5.应设置安全警示标志的位置：施工现场入口处，施工起重机械，临时用电设施，脚手架，四口（出入通道口、楼梯口、电梯井口、孔洞口），基坑边沿，爆破物及有害危险气体和液体存放处等危险部位。</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案例(二)</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背景资料：</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某水库除险加固工程的主要工作内容有：坝基帷幕灌浆(A) 、坝顶道路重建(B)、上游护坡重建(C) 、上游坝体培厚(D)、发电隧洞加固(E) 、泄洪隧洞加固(F) 、新建混凝土截渗墙(G) 、下游护坡重建(H)、新建防浪墙(I)。</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施工合同约定，工程施工总工期17个月(每月按30d计，下同)，自2011年11月1日开工至2013年3月30日完工。</w:t>
      </w:r>
    </w:p>
    <w:p>
      <w:pPr>
        <w:widowControl/>
        <w:spacing w:line="360" w:lineRule="auto"/>
        <w:jc w:val="left"/>
        <w:rPr>
          <w:rFonts w:hint="eastAsia"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施工过程中发生了如下事件：</w:t>
      </w:r>
    </w:p>
    <w:p>
      <w:pPr>
        <w:widowControl/>
        <w:spacing w:line="360" w:lineRule="auto"/>
        <w:jc w:val="left"/>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事件1：施工单位根据工程具体情况和合同工期要求，将主要工作内容均安排在非汛期施工。工程所在地汛期为7~9月份。施工单位分别绘制了两个非汛期的施工网络进度计划图，如图4-2和图4-3所示。</w:t>
      </w:r>
    </w:p>
    <w:p>
      <w:pPr>
        <w:widowControl/>
        <w:spacing w:before="75" w:after="75" w:line="360" w:lineRule="auto"/>
        <w:ind w:firstLine="422" w:firstLineChars="200"/>
        <w:rPr>
          <w:rFonts w:hint="eastAsia" w:ascii="Arial" w:hAnsi="Arial" w:cs="Arial"/>
          <w:b/>
          <w:bCs/>
          <w:color w:val="000000" w:themeColor="text1"/>
          <w:kern w:val="0"/>
          <w:sz w:val="21"/>
          <w:szCs w:val="21"/>
          <w14:textFill>
            <w14:solidFill>
              <w14:schemeClr w14:val="tx1"/>
            </w14:solidFill>
          </w14:textFill>
        </w:rPr>
      </w:pPr>
      <w:r>
        <w:rPr>
          <w:rFonts w:hint="eastAsia" w:ascii="Arial" w:hAnsi="Arial" w:cs="Arial"/>
          <w:b/>
          <w:bCs/>
          <w:color w:val="000000" w:themeColor="text1"/>
          <w:kern w:val="0"/>
          <w:sz w:val="21"/>
          <w:szCs w:val="21"/>
          <w14:textFill>
            <w14:solidFill>
              <w14:schemeClr w14:val="tx1"/>
            </w14:solidFill>
          </w14:textFill>
        </w:rPr>
        <w:drawing>
          <wp:inline distT="0" distB="0" distL="114300" distR="114300">
            <wp:extent cx="4084320" cy="3606800"/>
            <wp:effectExtent l="0" t="0" r="11430" b="1270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2"/>
                    <a:stretch>
                      <a:fillRect/>
                    </a:stretch>
                  </pic:blipFill>
                  <pic:spPr>
                    <a:xfrm>
                      <a:off x="0" y="0"/>
                      <a:ext cx="4084320" cy="3606800"/>
                    </a:xfrm>
                    <a:prstGeom prst="rect">
                      <a:avLst/>
                    </a:prstGeom>
                    <a:noFill/>
                    <a:ln w="9525">
                      <a:noFill/>
                    </a:ln>
                  </pic:spPr>
                </pic:pic>
              </a:graphicData>
            </a:graphic>
          </wp:inline>
        </w:drawing>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监理工程师审核意见如下：</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(1)上游护坡重建(C)工作应列入施工网络进度计划，并要确保安全度汛。</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(2) 应明确图4-2和图4-3施工进度计划的起止日期。</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施工单位根据监理工程师审核意见和资源配置情况，确定上游护坡重建 (C) 工作持续时间为150d，C工作具体安排为：第一个非汛期完成总工程量的80%，其余工程量安排在第二个非汛期施工且在H工作之前完成。据此施工单位对施工网络进度计划进行了修订。监理工程师批准后，工程如期开工。</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事件2：施工单位对发电隧洞加固(E)工作施工进度有关数据进行统计，绘制的工作进度曲线如图4-4所示。</w:t>
      </w:r>
    </w:p>
    <w:p>
      <w:pPr>
        <w:widowControl/>
        <w:spacing w:before="75" w:after="75" w:line="360" w:lineRule="auto"/>
        <w:ind w:firstLine="420" w:firstLineChars="200"/>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drawing>
          <wp:inline distT="0" distB="0" distL="114300" distR="114300">
            <wp:extent cx="3931920" cy="2407920"/>
            <wp:effectExtent l="0" t="0" r="11430" b="1143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3"/>
                    <a:stretch>
                      <a:fillRect/>
                    </a:stretch>
                  </pic:blipFill>
                  <pic:spPr>
                    <a:xfrm>
                      <a:off x="0" y="0"/>
                      <a:ext cx="3931920" cy="2407920"/>
                    </a:xfrm>
                    <a:prstGeom prst="rect">
                      <a:avLst/>
                    </a:prstGeom>
                    <a:noFill/>
                    <a:ln w="9525">
                      <a:noFill/>
                    </a:ln>
                  </pic:spPr>
                </pic:pic>
              </a:graphicData>
            </a:graphic>
          </wp:inline>
        </w:drawing>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事件3：坝顶道路施工中，项目法人要求设计单位将坝顶水泥混凝土路面变更为沥青混凝土路面。因原合同中无相同及类似工程，施工单位向监理工程师提交了沥青混凝土路面报价单。总监理工程师审定后调低该单价。施工单位认为价格过低，经协商未果，为维护自身权益遂停止施工，并书面通知监理工程师。</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【问题】</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1.分别写出图4-2、图4-3中施工网络进度计划的开始和完成日期。</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2.根据事件1，用双代号非时标网络图编制出修订后的施工进度计划(用工作代码表示) 。</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3.根据事件2，指出E工作第60天末实际超额(或拖欠)计划累计工程量的百分比、提前(或)拖欠的天数。指出E工作实际持续时间，并简要分析E工作的实际进度对计划工期的影响。</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4.事件3中，施工单位停工的做法是否正确?施工单位可通过哪些途径来维护自身权益?</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Arial" w:hAnsi="Arial" w:cs="Arial"/>
          <w:color w:val="000000" w:themeColor="text1"/>
          <w:kern w:val="0"/>
          <w:sz w:val="21"/>
          <w:szCs w:val="21"/>
          <w14:textFill>
            <w14:solidFill>
              <w14:schemeClr w14:val="tx1"/>
            </w14:solidFill>
          </w14:textFill>
        </w:rPr>
        <w:t>答案】</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1.图4-2的开始时间就是开工时间2011年11月1日，完成时间是2012年6月30日；</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图4-3的开始时间是2012年10月1日，完成时间是2013年3月30日。</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2. 修订后的施工进度计划如下图所示。</w:t>
      </w:r>
    </w:p>
    <w:p>
      <w:pPr>
        <w:widowControl/>
        <w:spacing w:before="75" w:after="75" w:line="360" w:lineRule="auto"/>
        <w:ind w:firstLine="480"/>
        <w:jc w:val="left"/>
        <w:rPr>
          <w:rFonts w:hint="eastAsia" w:ascii="Arial" w:hAnsi="Arial" w:cs="Arial"/>
          <w:color w:val="000000" w:themeColor="text1"/>
          <w:kern w:val="0"/>
          <w:sz w:val="21"/>
          <w:szCs w:val="21"/>
          <w14:textFill>
            <w14:solidFill>
              <w14:schemeClr w14:val="tx1"/>
            </w14:solidFill>
          </w14:textFill>
        </w:rPr>
      </w:pPr>
    </w:p>
    <w:p>
      <w:pPr>
        <w:widowControl/>
        <w:spacing w:before="75" w:after="75" w:line="360" w:lineRule="auto"/>
        <w:ind w:firstLine="480"/>
        <w:jc w:val="center"/>
        <w:rPr>
          <w:rFonts w:hint="eastAsia" w:ascii="Arial" w:hAnsi="Arial" w:cs="Arial"/>
          <w:color w:val="000000" w:themeColor="text1"/>
          <w:kern w:val="0"/>
          <w:sz w:val="21"/>
          <w:szCs w:val="21"/>
          <w14:textFill>
            <w14:solidFill>
              <w14:schemeClr w14:val="tx1"/>
            </w14:solidFill>
          </w14:textFill>
        </w:rPr>
      </w:pPr>
      <w:r>
        <w:rPr>
          <w:color w:val="000000" w:themeColor="text1"/>
          <w:sz w:val="21"/>
          <w:szCs w:val="21"/>
          <w14:textFill>
            <w14:solidFill>
              <w14:schemeClr w14:val="tx1"/>
            </w14:solidFill>
          </w14:textFill>
        </w:rPr>
        <w:object>
          <v:shape id="_x0000_i1025" o:spt="75" type="#_x0000_t75" style="height:150.4pt;width:252pt;" o:ole="t" filled="f" o:preferrelative="t" stroked="f" coordsize="21600,21600">
            <v:path/>
            <v:fill on="f" focussize="0,0"/>
            <v:stroke on="f" joinstyle="miter"/>
            <v:imagedata r:id="rId15" o:title=""/>
            <o:lock v:ext="edit" aspectratio="t"/>
            <w10:wrap type="none"/>
            <w10:anchorlock/>
          </v:shape>
          <o:OLEObject Type="Embed" ProgID="Visio.Drawing.6" ShapeID="_x0000_i1025" DrawAspect="Content" ObjectID="_1468075725" r:id="rId14">
            <o:LockedField>false</o:LockedField>
          </o:OLEObject>
        </w:object>
      </w:r>
    </w:p>
    <w:p>
      <w:pPr>
        <w:widowControl/>
        <w:spacing w:before="75" w:after="75" w:line="360" w:lineRule="auto"/>
        <w:ind w:firstLine="480"/>
        <w:jc w:val="center"/>
        <w:rPr>
          <w:rFonts w:hint="eastAsia" w:ascii="Arial" w:hAnsi="Arial" w:cs="Arial"/>
          <w:color w:val="000000" w:themeColor="text1"/>
          <w:kern w:val="0"/>
          <w:sz w:val="21"/>
          <w:szCs w:val="21"/>
          <w14:textFill>
            <w14:solidFill>
              <w14:schemeClr w14:val="tx1"/>
            </w14:solidFill>
          </w14:textFill>
        </w:rPr>
      </w:pPr>
    </w:p>
    <w:p>
      <w:pPr>
        <w:widowControl/>
        <w:spacing w:before="75" w:after="75" w:line="360" w:lineRule="auto"/>
        <w:ind w:firstLine="480"/>
        <w:jc w:val="center"/>
        <w:rPr>
          <w:rFonts w:hint="eastAsia"/>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object>
          <v:shape id="_x0000_i1026" o:spt="75" type="#_x0000_t75" style="height:134.4pt;width:251.2pt;" o:ole="t" filled="f" o:preferrelative="t" stroked="f" coordsize="21600,21600">
            <v:path/>
            <v:fill on="f" focussize="0,0"/>
            <v:stroke on="f" joinstyle="miter"/>
            <v:imagedata r:id="rId17" o:title=""/>
            <o:lock v:ext="edit" aspectratio="t"/>
            <w10:wrap type="none"/>
            <w10:anchorlock/>
          </v:shape>
          <o:OLEObject Type="Embed" ProgID="Visio.Drawing.6" ShapeID="_x0000_i1026" DrawAspect="Content" ObjectID="_1468075726" r:id="rId16">
            <o:LockedField>false</o:LockedField>
          </o:OLEObject>
        </w:objec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注：Cl、 C2分别代表C工作在两个非汛期完成的相应工作；图中单位为天（d）。</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3. E工作实际持续时间及其实际进度对计划工期前影响：</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（1）第60天末，E工作实际拖欠计划累计工程量为12.1%；拖延22 天。</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（2）E工作的实际持续时间是180d；不影响计划工期，因为E工作拖延时间为30d，未超过E工作的总时差70d。</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4. 施工单位停工的做法不正确。施工单位应通过以下途径来维护自身的权益：(1)友好协商解决；(2)提请争议评审组评审；(3)仲裁；(4)诉讼。</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案例(三)</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背景资料：</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某河道治理工程，以水下疏浚为主，两岸堤防工程级别为1级。工程建设内容包括：河道疏浚、险工处理、护岸加固等。施工招标文件按照《水利水电工程标准施工招标文件》(2009 年版)编制，部分条款内容如下：</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(1) 疏浚工程结算按照招标图纸所示断面尺寸计算工程量，计量单位为"m3"；</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(2) 疏浚工程约定工程质量保修期为一年，期满后，按照合同约定时间退还工程质量保证金；</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(3) 施工期自然回淤量、超挖超填量均不计量；</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(4) 施工辅助设施中疏浚前扫床不计量，退水口及排水渠需另行计量支付。</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投标人认为上述条款不公正，要求招标人修改，招标人修改了招标文件。</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某专业承包资质的施工单位按照招标文件的要求准备投标文件，对照资格审查自审表列出了需准备的营业执照、税务登记证、组织机构代码证等证书。经过评标，该施工单位中标。</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施工过程中，由于当地石料禁采，设计单位将抛石护岸变更为生态护岸。承包人根据发包人推荐，将生态护岸分包给专业生产厂商施工。为满足发包人要求的汛前护砌高程，该分包人在砌块未达到龄期即运至现场施工，导致汛后部分护岸损坏，发包人向承包人提出索赔，承包人认为发包人应直接向分包人提出索赔。</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【问题】</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 xml:space="preserve">1、说明本工程施工单位资质的专业类别及相应等级，为满足投标人最低资格审查要求，除背景资料所列证书外，投标单位还应准备的单位或人员证书有哪些？ </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2、指出原招标文件条款的不妥之处，说明理由。</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3、针对招标文件条款不公正或内容不完善的问题，依据《水利水电工程标准施工招标文件》，投标人应如何解决或通过什么途径维护自身权益？</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4、施工单位在分包管理方面应履行哪些主要职责？对于发包人提出的索赔，承包人的意见是否合理？说明理由。</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hint="eastAsia" w:ascii="Arial" w:hAnsi="Arial" w:cs="Arial"/>
          <w:color w:val="000000" w:themeColor="text1"/>
          <w:kern w:val="0"/>
          <w:sz w:val="21"/>
          <w:szCs w:val="21"/>
          <w14:textFill>
            <w14:solidFill>
              <w14:schemeClr w14:val="tx1"/>
            </w14:solidFill>
          </w14:textFill>
        </w:rPr>
        <w:t>答案】</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1. (1)施工单位资质的专业类别及相应等级为：河湖整治工程专业承包一级资质。</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(2) 施工单位应准备的资质(资格)证书包括：企业资质证书(或河湖整治工程专业承包一级资质证书)；安全生产许可证；水利水电专业一级注册建造师证书；三类人员(单位负责人、项目负责人、专职安全生产人员)安全生产考核合格证书或 A、 B、 C 三类安全生产考核合格证书。</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2. 原招标文件条款内容的不妥之处及理由如下：</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不妥指出：疏浚工程结算按照招标图纸所示断面尺寸计算工程量。</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理由：应按照施工图纸。</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不妥之处：疏浚工程工程质量保修期1年。</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理由：河湖疏浚工程无工程质量保修期。</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不妥之处：施工辅助设施中疏浚前扫床不计量。</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理由：疏浚前扫床应另行计量支付。</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3. 投标人维护自身权益的途径包括：</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(1)向招标人发出招标文件修改或澄清函；</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(2)向招标人提出招标文件异议；</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( 3)向行政监督部门投诉；</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(4) 提起诉讼。</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4. 施工单位在分色管理方面应履行的主要职责是：</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(1)工程分包应经过发包人书面认可或应在施工承包中约定；</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(2)签订工程分包，并发送发包人备案；</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(3) 对其分包项目的实施以及分包人的行为向发包人负全部责任；</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(4) 设立项目管理机构，组织管理所承包或分包工程的施工活动。</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对于发包人人提出的索赔，承包人的意见不合理。发包人推荐分包人，若承包人接受，则对其分包项目的实施以及分包人的行为向发包人负全部责任。</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案例(四)</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某引调水枢纽工程，工程规模为中型，建设内容主要有泵站、节制闸、新建堤防、上下游河道疏浚等，泵站地基在高压旋喷桩防渗墙，工程布置图如图2-1所示。</w:t>
      </w:r>
    </w:p>
    <w:p>
      <w:pPr>
        <w:widowControl/>
        <w:spacing w:before="75" w:after="75" w:line="360" w:lineRule="auto"/>
        <w:ind w:firstLine="480"/>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drawing>
          <wp:inline distT="0" distB="0" distL="114300" distR="114300">
            <wp:extent cx="5080000" cy="2926080"/>
            <wp:effectExtent l="0" t="0" r="6350" b="762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8"/>
                    <a:stretch>
                      <a:fillRect/>
                    </a:stretch>
                  </pic:blipFill>
                  <pic:spPr>
                    <a:xfrm>
                      <a:off x="0" y="0"/>
                      <a:ext cx="5080000" cy="2926080"/>
                    </a:xfrm>
                    <a:prstGeom prst="rect">
                      <a:avLst/>
                    </a:prstGeom>
                    <a:noFill/>
                    <a:ln w="9525">
                      <a:noFill/>
                    </a:ln>
                  </pic:spPr>
                </pic:pic>
              </a:graphicData>
            </a:graphic>
          </wp:inline>
        </w:drawing>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施工中发生了如下事件：</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事件1：为做好泵站和节制闸基坑土方开挖士程量计量工作，施工单位编制了土方开挖工程测量方案，明确了开挖工程测量的内容和开挖工程量计算中面积计算的方法。</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事件2：高压旋喷桩防渗墙施工方案中，高压旋喷桩的主要施工包括：</w:t>
      </w:r>
      <w:r>
        <w:rPr>
          <w:rFonts w:hint="eastAsia" w:ascii="宋体" w:hAnsi="宋体" w:cs="Arial"/>
          <w:color w:val="000000" w:themeColor="text1"/>
          <w:kern w:val="0"/>
          <w:sz w:val="21"/>
          <w:szCs w:val="21"/>
          <w14:textFill>
            <w14:solidFill>
              <w14:schemeClr w14:val="tx1"/>
            </w14:solidFill>
          </w14:textFill>
        </w:rPr>
        <w:t>①</w:t>
      </w:r>
      <w:r>
        <w:rPr>
          <w:rFonts w:hint="eastAsia" w:ascii="Arial" w:hAnsi="Arial" w:cs="Arial"/>
          <w:color w:val="000000" w:themeColor="text1"/>
          <w:kern w:val="0"/>
          <w:sz w:val="21"/>
          <w:szCs w:val="21"/>
          <w14:textFill>
            <w14:solidFill>
              <w14:schemeClr w14:val="tx1"/>
            </w14:solidFill>
          </w14:textFill>
        </w:rPr>
        <w:t>钻孔，</w:t>
      </w:r>
      <w:r>
        <w:rPr>
          <w:rFonts w:hint="eastAsia" w:ascii="宋体" w:hAnsi="宋体" w:cs="Arial"/>
          <w:color w:val="000000" w:themeColor="text1"/>
          <w:kern w:val="0"/>
          <w:sz w:val="21"/>
          <w:szCs w:val="21"/>
          <w14:textFill>
            <w14:solidFill>
              <w14:schemeClr w14:val="tx1"/>
            </w14:solidFill>
          </w14:textFill>
        </w:rPr>
        <w:t>②</w:t>
      </w:r>
      <w:r>
        <w:rPr>
          <w:rFonts w:hint="eastAsia" w:ascii="Arial" w:hAnsi="Arial" w:cs="Arial"/>
          <w:color w:val="000000" w:themeColor="text1"/>
          <w:kern w:val="0"/>
          <w:sz w:val="21"/>
          <w:szCs w:val="21"/>
          <w14:textFill>
            <w14:solidFill>
              <w14:schemeClr w14:val="tx1"/>
            </w14:solidFill>
          </w14:textFill>
        </w:rPr>
        <w:t>试喷，</w:t>
      </w:r>
      <w:r>
        <w:rPr>
          <w:rFonts w:hint="eastAsia" w:ascii="宋体" w:hAnsi="宋体" w:cs="Arial"/>
          <w:color w:val="000000" w:themeColor="text1"/>
          <w:kern w:val="0"/>
          <w:sz w:val="21"/>
          <w:szCs w:val="21"/>
          <w14:textFill>
            <w14:solidFill>
              <w14:schemeClr w14:val="tx1"/>
            </w14:solidFill>
          </w14:textFill>
        </w:rPr>
        <w:t>③</w:t>
      </w:r>
      <w:r>
        <w:rPr>
          <w:rFonts w:hint="eastAsia" w:ascii="Arial" w:hAnsi="Arial" w:cs="Arial"/>
          <w:color w:val="000000" w:themeColor="text1"/>
          <w:kern w:val="0"/>
          <w:sz w:val="21"/>
          <w:szCs w:val="21"/>
          <w14:textFill>
            <w14:solidFill>
              <w14:schemeClr w14:val="tx1"/>
            </w14:solidFill>
          </w14:textFill>
        </w:rPr>
        <w:t>喷射提升，</w:t>
      </w:r>
      <w:r>
        <w:rPr>
          <w:rFonts w:hint="eastAsia" w:ascii="宋体" w:hAnsi="宋体" w:cs="Arial"/>
          <w:color w:val="000000" w:themeColor="text1"/>
          <w:kern w:val="0"/>
          <w:sz w:val="21"/>
          <w:szCs w:val="21"/>
          <w14:textFill>
            <w14:solidFill>
              <w14:schemeClr w14:val="tx1"/>
            </w14:solidFill>
          </w14:textFill>
        </w:rPr>
        <w:t>④</w:t>
      </w:r>
      <w:r>
        <w:rPr>
          <w:rFonts w:hint="eastAsia" w:ascii="Arial" w:hAnsi="Arial" w:cs="Arial"/>
          <w:color w:val="000000" w:themeColor="text1"/>
          <w:kern w:val="0"/>
          <w:sz w:val="21"/>
          <w:szCs w:val="21"/>
          <w14:textFill>
            <w14:solidFill>
              <w14:schemeClr w14:val="tx1"/>
            </w14:solidFill>
          </w14:textFill>
        </w:rPr>
        <w:t>下喷射管，</w:t>
      </w:r>
      <w:r>
        <w:rPr>
          <w:rFonts w:hint="eastAsia" w:ascii="宋体" w:hAnsi="宋体" w:cs="Arial"/>
          <w:color w:val="000000" w:themeColor="text1"/>
          <w:kern w:val="0"/>
          <w:sz w:val="21"/>
          <w:szCs w:val="21"/>
          <w14:textFill>
            <w14:solidFill>
              <w14:schemeClr w14:val="tx1"/>
            </w14:solidFill>
          </w14:textFill>
        </w:rPr>
        <w:t>⑤</w:t>
      </w:r>
      <w:r>
        <w:rPr>
          <w:rFonts w:hint="eastAsia" w:ascii="Arial" w:hAnsi="Arial" w:cs="Arial"/>
          <w:color w:val="000000" w:themeColor="text1"/>
          <w:kern w:val="0"/>
          <w:sz w:val="21"/>
          <w:szCs w:val="21"/>
          <w14:textFill>
            <w14:solidFill>
              <w14:schemeClr w14:val="tx1"/>
            </w14:solidFill>
          </w14:textFill>
        </w:rPr>
        <w:t>成桩。为检验防渗墙的防渗效果，旋喷桩桩体水泥土凝固28d后，在防渗墙体中部选取一点进行钻孔注水试验。</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事件3：关于施工质量评定工作的组织要求如下：分部工程质量由施工单位自评，监理单位复核，项目法人认定。分部工程验收质量结论由项目法人报工程质量监督机构核备，其中主要建筑物节制闸和泵站的分部工程验收质量结论由项目法人报工程质量监督机构核定。单位工程质量在施工单位自评合格后，由监理单位抽检，项目法人核定。单位工程验收质量结论报工程质量监督机构核备。</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事件4：监理单位对部分单元(工序)工程质量的复核情况见表2-7。</w:t>
      </w:r>
    </w:p>
    <w:p>
      <w:pPr>
        <w:widowControl/>
        <w:spacing w:before="75" w:after="75" w:line="360" w:lineRule="auto"/>
        <w:ind w:firstLine="420" w:firstLineChars="200"/>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drawing>
          <wp:inline distT="0" distB="0" distL="114300" distR="114300">
            <wp:extent cx="5181600" cy="1198880"/>
            <wp:effectExtent l="0" t="0" r="0" b="127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9"/>
                    <a:stretch>
                      <a:fillRect/>
                    </a:stretch>
                  </pic:blipFill>
                  <pic:spPr>
                    <a:xfrm>
                      <a:off x="0" y="0"/>
                      <a:ext cx="5181600" cy="1198880"/>
                    </a:xfrm>
                    <a:prstGeom prst="rect">
                      <a:avLst/>
                    </a:prstGeom>
                    <a:noFill/>
                    <a:ln w="9525">
                      <a:noFill/>
                    </a:ln>
                  </pic:spPr>
                </pic:pic>
              </a:graphicData>
            </a:graphic>
          </wp:inline>
        </w:drawing>
      </w:r>
    </w:p>
    <w:p>
      <w:pPr>
        <w:widowControl/>
        <w:spacing w:before="75" w:after="75" w:line="360" w:lineRule="auto"/>
        <w:rPr>
          <w:rFonts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事件5：闸门制造过程中，监理工程师对闸门制造使用的钢材、防腐涂料、止水材料等的质量保证书进行了查验。启闭机出广前，监理工程师组织有关单位进行了启闭机整体组装检查和厂内有关试验。当闸门和启闭机现场安装完成后，进行联合试运行和相关试验。</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【问题】</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1.事件</w:t>
      </w:r>
      <w:r>
        <w:rPr>
          <w:rFonts w:hint="eastAsia" w:ascii="Arial" w:hAnsi="Arial" w:cs="Arial"/>
          <w:color w:val="000000" w:themeColor="text1"/>
          <w:kern w:val="0"/>
          <w:sz w:val="21"/>
          <w:szCs w:val="21"/>
          <w14:textFill>
            <w14:solidFill>
              <w14:schemeClr w14:val="tx1"/>
            </w14:solidFill>
          </w14:textFill>
        </w:rPr>
        <w:t>1</w:t>
      </w:r>
      <w:r>
        <w:rPr>
          <w:rFonts w:ascii="Arial" w:hAnsi="Arial" w:cs="Arial"/>
          <w:color w:val="000000" w:themeColor="text1"/>
          <w:kern w:val="0"/>
          <w:sz w:val="21"/>
          <w:szCs w:val="21"/>
          <w14:textFill>
            <w14:solidFill>
              <w14:schemeClr w14:val="tx1"/>
            </w14:solidFill>
          </w14:textFill>
        </w:rPr>
        <w:t>中，基坑土方开挖工程测量包括哪些工作内容?开挖工程量计算中面积计算方法有哪些?</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2.指出事件</w:t>
      </w:r>
      <w:r>
        <w:rPr>
          <w:rFonts w:hint="eastAsia" w:ascii="Arial" w:hAnsi="Arial" w:cs="Arial"/>
          <w:color w:val="000000" w:themeColor="text1"/>
          <w:kern w:val="0"/>
          <w:sz w:val="21"/>
          <w:szCs w:val="21"/>
          <w14:textFill>
            <w14:solidFill>
              <w14:schemeClr w14:val="tx1"/>
            </w14:solidFill>
          </w14:textFill>
        </w:rPr>
        <w:t>2</w:t>
      </w:r>
      <w:r>
        <w:rPr>
          <w:rFonts w:ascii="Arial" w:hAnsi="Arial" w:cs="Arial"/>
          <w:color w:val="000000" w:themeColor="text1"/>
          <w:kern w:val="0"/>
          <w:sz w:val="21"/>
          <w:szCs w:val="21"/>
          <w14:textFill>
            <w14:solidFill>
              <w14:schemeClr w14:val="tx1"/>
            </w14:solidFill>
          </w14:textFill>
        </w:rPr>
        <w:t>中，高压旋喷桩施工顺序</w:t>
      </w:r>
      <w:r>
        <w:rPr>
          <w:rFonts w:hint="eastAsia" w:ascii="Arial" w:hAnsi="Arial" w:cs="Arial"/>
          <w:color w:val="000000" w:themeColor="text1"/>
          <w:kern w:val="0"/>
          <w:sz w:val="21"/>
          <w:szCs w:val="21"/>
          <w14:textFill>
            <w14:solidFill>
              <w14:schemeClr w14:val="tx1"/>
            </w14:solidFill>
          </w14:textFill>
        </w:rPr>
        <w:t>（以编号和箭头表示）；指出并改正该事件中防渗墙注水试验做法的不妥之处</w:t>
      </w:r>
      <w:r>
        <w:rPr>
          <w:rFonts w:ascii="Arial" w:hAnsi="Arial" w:cs="Arial"/>
          <w:color w:val="000000" w:themeColor="text1"/>
          <w:kern w:val="0"/>
          <w:sz w:val="21"/>
          <w:szCs w:val="21"/>
          <w14:textFill>
            <w14:solidFill>
              <w14:schemeClr w14:val="tx1"/>
            </w14:solidFill>
          </w14:textFill>
        </w:rPr>
        <w:t>。</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3.指出事件</w:t>
      </w:r>
      <w:r>
        <w:rPr>
          <w:rFonts w:hint="eastAsia" w:ascii="Arial" w:hAnsi="Arial" w:cs="Arial"/>
          <w:color w:val="000000" w:themeColor="text1"/>
          <w:kern w:val="0"/>
          <w:sz w:val="21"/>
          <w:szCs w:val="21"/>
          <w14:textFill>
            <w14:solidFill>
              <w14:schemeClr w14:val="tx1"/>
            </w14:solidFill>
          </w14:textFill>
        </w:rPr>
        <w:t>3</w:t>
      </w:r>
      <w:r>
        <w:rPr>
          <w:rFonts w:ascii="Arial" w:hAnsi="Arial" w:cs="Arial"/>
          <w:color w:val="000000" w:themeColor="text1"/>
          <w:kern w:val="0"/>
          <w:sz w:val="21"/>
          <w:szCs w:val="21"/>
          <w14:textFill>
            <w14:solidFill>
              <w14:schemeClr w14:val="tx1"/>
            </w14:solidFill>
          </w14:textFill>
        </w:rPr>
        <w:t>中分部工程质量评定的不妥之处，并说明理由；改正单位工程质量评定错误之处。</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4.根据事件</w:t>
      </w:r>
      <w:r>
        <w:rPr>
          <w:rFonts w:hint="eastAsia" w:ascii="Arial" w:hAnsi="Arial" w:cs="Arial"/>
          <w:color w:val="000000" w:themeColor="text1"/>
          <w:kern w:val="0"/>
          <w:sz w:val="21"/>
          <w:szCs w:val="21"/>
          <w14:textFill>
            <w14:solidFill>
              <w14:schemeClr w14:val="tx1"/>
            </w14:solidFill>
          </w14:textFill>
        </w:rPr>
        <w:t>4</w:t>
      </w:r>
      <w:r>
        <w:rPr>
          <w:rFonts w:ascii="Arial" w:hAnsi="Arial" w:cs="Arial"/>
          <w:color w:val="000000" w:themeColor="text1"/>
          <w:kern w:val="0"/>
          <w:sz w:val="21"/>
          <w:szCs w:val="21"/>
          <w14:textFill>
            <w14:solidFill>
              <w14:schemeClr w14:val="tx1"/>
            </w14:solidFill>
          </w14:textFill>
        </w:rPr>
        <w:t>，指出单元工程 A中土料压实工序的质量等级，并说明理由；分别指出单元工程A、B的质量等级，并说明理由。</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5.事件5中，闸门制造使用的材料中，还有哪些需要提供质量保证书</w:t>
      </w:r>
      <w:r>
        <w:rPr>
          <w:rFonts w:hint="eastAsia" w:ascii="Arial" w:hAnsi="Arial" w:cs="Arial"/>
          <w:color w:val="000000" w:themeColor="text1"/>
          <w:kern w:val="0"/>
          <w:sz w:val="21"/>
          <w:szCs w:val="21"/>
          <w14:textFill>
            <w14:solidFill>
              <w14:schemeClr w14:val="tx1"/>
            </w14:solidFill>
          </w14:textFill>
        </w:rPr>
        <w:t>？</w:t>
      </w:r>
      <w:r>
        <w:rPr>
          <w:rFonts w:ascii="Arial" w:hAnsi="Arial" w:cs="Arial"/>
          <w:color w:val="000000" w:themeColor="text1"/>
          <w:kern w:val="0"/>
          <w:sz w:val="21"/>
          <w:szCs w:val="21"/>
          <w14:textFill>
            <w14:solidFill>
              <w14:schemeClr w14:val="tx1"/>
            </w14:solidFill>
          </w14:textFill>
        </w:rPr>
        <w:t>启闭机出厂前应进行说明试验?闸门和启闭机联合试运行应进行哪些试验?</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ascii="Arial" w:hAnsi="Arial" w:cs="Arial"/>
          <w:color w:val="000000" w:themeColor="text1"/>
          <w:kern w:val="0"/>
          <w:sz w:val="21"/>
          <w:szCs w:val="21"/>
          <w14:textFill>
            <w14:solidFill>
              <w14:schemeClr w14:val="tx1"/>
            </w14:solidFill>
          </w14:textFill>
        </w:rPr>
        <w:t>答案】</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1.土方开挖工程测量的内容有：(1)开挖区原始地形图、断面图的测量；(2)开挖轮廓点的放样；(3)开挖区竣工地形图、断面图的测量；(4)工程量的测算。面积计算方法有解析法和图解法。</w:t>
      </w:r>
    </w:p>
    <w:p>
      <w:pPr>
        <w:widowControl/>
        <w:spacing w:before="75" w:after="75" w:line="360" w:lineRule="auto"/>
        <w:jc w:val="left"/>
        <w:rPr>
          <w:rFonts w:hint="eastAsia" w:ascii="宋体" w:hAnsi="宋体"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2.高压旋喷桩施工方法为钻孔</w:t>
      </w:r>
      <w:r>
        <w:rPr>
          <w:rFonts w:hint="eastAsia" w:ascii="宋体" w:hAnsi="宋体" w:cs="Arial"/>
          <w:color w:val="000000" w:themeColor="text1"/>
          <w:kern w:val="0"/>
          <w:sz w:val="21"/>
          <w:szCs w:val="21"/>
          <w14:textFill>
            <w14:solidFill>
              <w14:schemeClr w14:val="tx1"/>
            </w14:solidFill>
          </w14:textFill>
        </w:rPr>
        <w:t>①→</w:t>
      </w:r>
      <w:r>
        <w:rPr>
          <w:rFonts w:ascii="Arial" w:hAnsi="Arial" w:cs="Arial"/>
          <w:color w:val="000000" w:themeColor="text1"/>
          <w:kern w:val="0"/>
          <w:sz w:val="21"/>
          <w:szCs w:val="21"/>
          <w14:textFill>
            <w14:solidFill>
              <w14:schemeClr w14:val="tx1"/>
            </w14:solidFill>
          </w14:textFill>
        </w:rPr>
        <w:t>试喷</w:t>
      </w:r>
      <w:r>
        <w:rPr>
          <w:rFonts w:hint="eastAsia" w:ascii="宋体" w:hAnsi="宋体" w:cs="Arial"/>
          <w:color w:val="000000" w:themeColor="text1"/>
          <w:kern w:val="0"/>
          <w:sz w:val="21"/>
          <w:szCs w:val="21"/>
          <w14:textFill>
            <w14:solidFill>
              <w14:schemeClr w14:val="tx1"/>
            </w14:solidFill>
          </w14:textFill>
        </w:rPr>
        <w:t>② →</w:t>
      </w:r>
      <w:r>
        <w:rPr>
          <w:rFonts w:ascii="Arial" w:hAnsi="Arial" w:cs="Arial"/>
          <w:color w:val="000000" w:themeColor="text1"/>
          <w:kern w:val="0"/>
          <w:sz w:val="21"/>
          <w:szCs w:val="21"/>
          <w14:textFill>
            <w14:solidFill>
              <w14:schemeClr w14:val="tx1"/>
            </w14:solidFill>
          </w14:textFill>
        </w:rPr>
        <w:t>下喷射管</w:t>
      </w:r>
      <w:r>
        <w:rPr>
          <w:rFonts w:hint="eastAsia" w:ascii="宋体" w:hAnsi="宋体" w:cs="Arial"/>
          <w:color w:val="000000" w:themeColor="text1"/>
          <w:kern w:val="0"/>
          <w:sz w:val="21"/>
          <w:szCs w:val="21"/>
          <w14:textFill>
            <w14:solidFill>
              <w14:schemeClr w14:val="tx1"/>
            </w14:solidFill>
          </w14:textFill>
        </w:rPr>
        <w:t>④ →</w:t>
      </w:r>
      <w:r>
        <w:rPr>
          <w:rFonts w:ascii="Arial" w:hAnsi="Arial" w:cs="Arial"/>
          <w:color w:val="000000" w:themeColor="text1"/>
          <w:kern w:val="0"/>
          <w:sz w:val="21"/>
          <w:szCs w:val="21"/>
          <w14:textFill>
            <w14:solidFill>
              <w14:schemeClr w14:val="tx1"/>
            </w14:solidFill>
          </w14:textFill>
        </w:rPr>
        <w:t>喷射管提升</w:t>
      </w:r>
      <w:r>
        <w:rPr>
          <w:rFonts w:hint="eastAsia" w:ascii="宋体" w:hAnsi="宋体" w:cs="Arial"/>
          <w:color w:val="000000" w:themeColor="text1"/>
          <w:kern w:val="0"/>
          <w:sz w:val="21"/>
          <w:szCs w:val="21"/>
          <w14:textFill>
            <w14:solidFill>
              <w14:schemeClr w14:val="tx1"/>
            </w14:solidFill>
          </w14:textFill>
        </w:rPr>
        <w:t>③→</w:t>
      </w:r>
      <w:r>
        <w:rPr>
          <w:rFonts w:ascii="Arial" w:hAnsi="Arial" w:cs="Arial"/>
          <w:color w:val="000000" w:themeColor="text1"/>
          <w:kern w:val="0"/>
          <w:sz w:val="21"/>
          <w:szCs w:val="21"/>
          <w14:textFill>
            <w14:solidFill>
              <w14:schemeClr w14:val="tx1"/>
            </w14:solidFill>
          </w14:textFill>
        </w:rPr>
        <w:t>成墙</w:t>
      </w:r>
      <w:r>
        <w:rPr>
          <w:rFonts w:hint="eastAsia" w:ascii="宋体" w:hAnsi="宋体" w:cs="Arial"/>
          <w:color w:val="000000" w:themeColor="text1"/>
          <w:kern w:val="0"/>
          <w:sz w:val="21"/>
          <w:szCs w:val="21"/>
          <w14:textFill>
            <w14:solidFill>
              <w14:schemeClr w14:val="tx1"/>
            </w14:solidFill>
          </w14:textFill>
        </w:rPr>
        <w:t>⑤。</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事件2中防渗墙注水试验做法不妥之处：在防渗墙体中部选取一点钻孔进行注水试验。</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改正：</w:t>
      </w:r>
      <w:r>
        <w:rPr>
          <w:rFonts w:ascii="Arial" w:hAnsi="Arial" w:cs="Arial"/>
          <w:color w:val="000000" w:themeColor="text1"/>
          <w:kern w:val="0"/>
          <w:sz w:val="21"/>
          <w:szCs w:val="21"/>
          <w14:textFill>
            <w14:solidFill>
              <w14:schemeClr w14:val="tx1"/>
            </w14:solidFill>
          </w14:textFill>
        </w:rPr>
        <w:t>应在</w:t>
      </w:r>
      <w:r>
        <w:rPr>
          <w:rFonts w:hint="eastAsia" w:ascii="Arial" w:hAnsi="Arial" w:cs="Arial"/>
          <w:color w:val="000000" w:themeColor="text1"/>
          <w:kern w:val="0"/>
          <w:sz w:val="21"/>
          <w:szCs w:val="21"/>
          <w14:textFill>
            <w14:solidFill>
              <w14:schemeClr w14:val="tx1"/>
            </w14:solidFill>
          </w14:textFill>
        </w:rPr>
        <w:t>旋喷桩</w:t>
      </w:r>
      <w:r>
        <w:rPr>
          <w:rFonts w:ascii="Arial" w:hAnsi="Arial" w:cs="Arial"/>
          <w:color w:val="000000" w:themeColor="text1"/>
          <w:kern w:val="0"/>
          <w:sz w:val="21"/>
          <w:szCs w:val="21"/>
          <w14:textFill>
            <w14:solidFill>
              <w14:schemeClr w14:val="tx1"/>
            </w14:solidFill>
          </w14:textFill>
        </w:rPr>
        <w:t>防渗墙水泥土凝固前，</w:t>
      </w:r>
      <w:r>
        <w:rPr>
          <w:rFonts w:hint="eastAsia" w:ascii="Arial" w:hAnsi="Arial" w:cs="Arial"/>
          <w:color w:val="000000" w:themeColor="text1"/>
          <w:kern w:val="0"/>
          <w:sz w:val="21"/>
          <w:szCs w:val="21"/>
          <w14:textFill>
            <w14:solidFill>
              <w14:schemeClr w14:val="tx1"/>
            </w14:solidFill>
          </w14:textFill>
        </w:rPr>
        <w:t>在</w:t>
      </w:r>
      <w:r>
        <w:rPr>
          <w:rFonts w:ascii="Arial" w:hAnsi="Arial" w:cs="Arial"/>
          <w:color w:val="000000" w:themeColor="text1"/>
          <w:kern w:val="0"/>
          <w:sz w:val="21"/>
          <w:szCs w:val="21"/>
          <w14:textFill>
            <w14:solidFill>
              <w14:schemeClr w14:val="tx1"/>
            </w14:solidFill>
          </w14:textFill>
        </w:rPr>
        <w:t>指定位置贴接加厚一个单元墙，待凝固28天后，在</w:t>
      </w:r>
      <w:r>
        <w:rPr>
          <w:rFonts w:hint="eastAsia" w:ascii="Arial" w:hAnsi="Arial" w:cs="Arial"/>
          <w:color w:val="000000" w:themeColor="text1"/>
          <w:kern w:val="0"/>
          <w:sz w:val="21"/>
          <w:szCs w:val="21"/>
          <w14:textFill>
            <w14:solidFill>
              <w14:schemeClr w14:val="tx1"/>
            </w14:solidFill>
          </w14:textFill>
        </w:rPr>
        <w:t>防渗</w:t>
      </w:r>
      <w:r>
        <w:rPr>
          <w:rFonts w:ascii="Arial" w:hAnsi="Arial" w:cs="Arial"/>
          <w:color w:val="000000" w:themeColor="text1"/>
          <w:kern w:val="0"/>
          <w:sz w:val="21"/>
          <w:szCs w:val="21"/>
          <w14:textFill>
            <w14:solidFill>
              <w14:schemeClr w14:val="tx1"/>
            </w14:solidFill>
          </w14:textFill>
        </w:rPr>
        <w:t>墙</w:t>
      </w:r>
      <w:r>
        <w:rPr>
          <w:rFonts w:hint="eastAsia" w:ascii="Arial" w:hAnsi="Arial" w:cs="Arial"/>
          <w:color w:val="000000" w:themeColor="text1"/>
          <w:kern w:val="0"/>
          <w:sz w:val="21"/>
          <w:szCs w:val="21"/>
          <w14:textFill>
            <w14:solidFill>
              <w14:schemeClr w14:val="tx1"/>
            </w14:solidFill>
          </w14:textFill>
        </w:rPr>
        <w:t>和加厚单元墙中间</w:t>
      </w:r>
      <w:r>
        <w:rPr>
          <w:rFonts w:ascii="Arial" w:hAnsi="Arial" w:cs="Arial"/>
          <w:color w:val="000000" w:themeColor="text1"/>
          <w:kern w:val="0"/>
          <w:sz w:val="21"/>
          <w:szCs w:val="21"/>
          <w14:textFill>
            <w14:solidFill>
              <w14:schemeClr w14:val="tx1"/>
            </w14:solidFill>
          </w14:textFill>
        </w:rPr>
        <w:t>钻孔进行注水试验</w:t>
      </w:r>
      <w:r>
        <w:rPr>
          <w:rFonts w:hint="eastAsia" w:ascii="Arial" w:hAnsi="Arial" w:cs="Arial"/>
          <w:color w:val="000000" w:themeColor="text1"/>
          <w:kern w:val="0"/>
          <w:sz w:val="21"/>
          <w:szCs w:val="21"/>
          <w14:textFill>
            <w14:solidFill>
              <w14:schemeClr w14:val="tx1"/>
            </w14:solidFill>
          </w14:textFill>
        </w:rPr>
        <w:t>，</w:t>
      </w:r>
      <w:r>
        <w:rPr>
          <w:rFonts w:ascii="Arial" w:hAnsi="Arial" w:cs="Arial"/>
          <w:color w:val="000000" w:themeColor="text1"/>
          <w:kern w:val="0"/>
          <w:sz w:val="21"/>
          <w:szCs w:val="21"/>
          <w14:textFill>
            <w14:solidFill>
              <w14:schemeClr w14:val="tx1"/>
            </w14:solidFill>
          </w14:textFill>
        </w:rPr>
        <w:t>试验点数不少于3个点。</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3.</w:t>
      </w:r>
      <w:r>
        <w:rPr>
          <w:rFonts w:hint="eastAsia" w:ascii="Arial" w:hAnsi="Arial" w:cs="Arial"/>
          <w:color w:val="000000" w:themeColor="text1"/>
          <w:kern w:val="0"/>
          <w:sz w:val="21"/>
          <w:szCs w:val="21"/>
          <w14:textFill>
            <w14:solidFill>
              <w14:schemeClr w14:val="tx1"/>
            </w14:solidFill>
          </w14:textFill>
        </w:rPr>
        <w:t>不妥之处：主要建筑物节制闸和泵站的分部工程验收质量结论由项目法人报工程质量监督机构核定。</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理由：本枢纽工程为中型枢纽工程(或应报工程质量监督机构核备)。大型枢纽工程的主要建筑物的分部工程验收质量结论由项目法人报工程质量监督机构核定。</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改正：单位工程质量，在施工单位自评合格后，由监理单位复核，项目法人认定。单位工程验收的质量结论由工程质量监督机构核定。</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4.</w:t>
      </w:r>
      <w:r>
        <w:rPr>
          <w:rFonts w:hint="eastAsia" w:ascii="Arial" w:hAnsi="Arial" w:cs="Arial"/>
          <w:color w:val="000000" w:themeColor="text1"/>
          <w:kern w:val="0"/>
          <w:sz w:val="21"/>
          <w:szCs w:val="21"/>
          <w14:textFill>
            <w14:solidFill>
              <w14:schemeClr w14:val="tx1"/>
            </w14:solidFill>
          </w14:textFill>
        </w:rPr>
        <w:t>土料压实工序质量等级为合格，因为一般项目合格率&lt;90%；A单元工程质量等级为合格，因为该单元工程工序优良率50% 、主要工序(或土料压实工序)合格。</w:t>
      </w:r>
      <w:r>
        <w:rPr>
          <w:rFonts w:ascii="Arial" w:hAnsi="Arial" w:cs="Arial"/>
          <w:color w:val="000000" w:themeColor="text1"/>
          <w:kern w:val="0"/>
          <w:sz w:val="21"/>
          <w:szCs w:val="21"/>
          <w14:textFill>
            <w14:solidFill>
              <w14:schemeClr w14:val="tx1"/>
            </w14:solidFill>
          </w14:textFill>
        </w:rPr>
        <w:t>B单元工程</w:t>
      </w:r>
      <w:r>
        <w:rPr>
          <w:rFonts w:hint="eastAsia" w:ascii="Arial" w:hAnsi="Arial" w:cs="Arial"/>
          <w:color w:val="000000" w:themeColor="text1"/>
          <w:kern w:val="0"/>
          <w:sz w:val="21"/>
          <w:szCs w:val="21"/>
          <w14:textFill>
            <w14:solidFill>
              <w14:schemeClr w14:val="tx1"/>
            </w14:solidFill>
          </w14:textFill>
        </w:rPr>
        <w:t>质量等级为不合格，因为B单元为河道疏浚，属于不划分工序的单元工程，对于河道疏浚单元工程，合格标准为主控项目检验点100%合格，一般项目检验点合格率不低于9</w:t>
      </w:r>
      <w:r>
        <w:rPr>
          <w:rFonts w:ascii="Arial" w:hAnsi="Arial" w:cs="Arial"/>
          <w:color w:val="000000" w:themeColor="text1"/>
          <w:kern w:val="0"/>
          <w:sz w:val="21"/>
          <w:szCs w:val="21"/>
          <w14:textFill>
            <w14:solidFill>
              <w14:schemeClr w14:val="tx1"/>
            </w14:solidFill>
          </w14:textFill>
        </w:rPr>
        <w:t>0%</w:t>
      </w:r>
      <w:r>
        <w:rPr>
          <w:rFonts w:hint="eastAsia" w:ascii="Arial" w:hAnsi="Arial" w:cs="Arial"/>
          <w:color w:val="000000" w:themeColor="text1"/>
          <w:kern w:val="0"/>
          <w:sz w:val="21"/>
          <w:szCs w:val="21"/>
          <w14:textFill>
            <w14:solidFill>
              <w14:schemeClr w14:val="tx1"/>
            </w14:solidFill>
          </w14:textFill>
        </w:rPr>
        <w:t>，且不合格不集中分布。</w:t>
      </w:r>
    </w:p>
    <w:p>
      <w:pPr>
        <w:widowControl/>
        <w:spacing w:before="75" w:after="75" w:line="360" w:lineRule="auto"/>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5.闸门制造使用的材料中还需要提供质量保证书的有闸门制造使用的</w:t>
      </w:r>
      <w:r>
        <w:rPr>
          <w:rFonts w:ascii="Arial" w:hAnsi="Arial" w:cs="Arial"/>
          <w:color w:val="000000" w:themeColor="text1"/>
          <w:kern w:val="0"/>
          <w:sz w:val="21"/>
          <w:szCs w:val="21"/>
          <w14:textFill>
            <w14:solidFill>
              <w14:schemeClr w14:val="tx1"/>
            </w14:solidFill>
          </w14:textFill>
        </w:rPr>
        <w:t>焊接材料</w:t>
      </w:r>
      <w:r>
        <w:rPr>
          <w:rFonts w:hint="eastAsia" w:ascii="Arial" w:hAnsi="Arial" w:cs="Arial"/>
          <w:color w:val="000000" w:themeColor="text1"/>
          <w:kern w:val="0"/>
          <w:sz w:val="21"/>
          <w:szCs w:val="21"/>
          <w14:textFill>
            <w14:solidFill>
              <w14:schemeClr w14:val="tx1"/>
            </w14:solidFill>
          </w14:textFill>
        </w:rPr>
        <w:t>（焊条、焊丝、焊剂）、标准件和非标准件。启闭机出厂前应进行空载模拟试验(或额完荷载试验)。闸门和启闭机联合试运行应进行电气设备试验、无载荷试验(或无水启闭试验) 和载荷试验(或动水启闭试验)。</w:t>
      </w:r>
    </w:p>
    <w:p>
      <w:pPr>
        <w:widowControl/>
        <w:spacing w:before="75" w:after="75" w:line="360" w:lineRule="auto"/>
        <w:jc w:val="left"/>
        <w:rPr>
          <w:rFonts w:hint="eastAsia" w:ascii="黑体" w:hAnsi="Arial" w:eastAsia="黑体" w:cs="Arial"/>
          <w:color w:val="000000" w:themeColor="text1"/>
          <w:kern w:val="0"/>
          <w:sz w:val="21"/>
          <w:szCs w:val="21"/>
          <w14:textFill>
            <w14:solidFill>
              <w14:schemeClr w14:val="tx1"/>
            </w14:solidFill>
          </w14:textFill>
        </w:rPr>
      </w:pPr>
      <w:r>
        <w:rPr>
          <w:rFonts w:hint="eastAsia" w:ascii="黑体" w:hAnsi="Arial" w:eastAsia="黑体" w:cs="Arial"/>
          <w:color w:val="000000" w:themeColor="text1"/>
          <w:kern w:val="0"/>
          <w:sz w:val="21"/>
          <w:szCs w:val="21"/>
          <w14:textFill>
            <w14:solidFill>
              <w14:schemeClr w14:val="tx1"/>
            </w14:solidFill>
          </w14:textFill>
        </w:rPr>
        <w:t>案例(五)</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某水电站枢纽工程由碾压式混凝土重力坝、坝后式电站、溢洪道等建筑物组成，其中重力坝最大坝高46m，坝顶全长290m，电站装机容量20万kW，采用地下升压变电站。某施工单位承担该枢纽工程施工，工程施工过程中发生如下事件：</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事件一：地下升压变电站项目划分为一个单位工程，其中包含开关站（土建），其他电气设备安装，操作控制室等分部工程。</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事件二：施工单位根据本工程特点进行了施工总布置，确定施工分区规划布置应遵守的部分原则如下：</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（1）金属结构，机电设备安装场地宜靠近主要安装地点；</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（2）施工管理及生活营区的布置应考虑风向、日照等因素，与生产设施有明显界限；</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（3）主要物质仓库、站场等储运系统宜布置在场内外交通衔接处。</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事件三：开工前，施工单位在现场设置了混凝土制冷（热）系统等主要施工工厂设施。</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事件四：施工单位根据施工单位根据《水利水电工程施工组织设计规范》</w:t>
      </w:r>
      <w:r>
        <w:rPr>
          <w:rFonts w:ascii="Arial" w:hAnsi="Arial" w:cs="Arial"/>
          <w:color w:val="000000" w:themeColor="text1"/>
          <w:kern w:val="0"/>
          <w:sz w:val="21"/>
          <w:szCs w:val="21"/>
          <w14:textFill>
            <w14:solidFill>
              <w14:schemeClr w14:val="tx1"/>
            </w14:solidFill>
          </w14:textFill>
        </w:rPr>
        <w:t>SL303-2004</w:t>
      </w:r>
      <w:r>
        <w:rPr>
          <w:rFonts w:hint="eastAsia" w:ascii="Arial" w:hAnsi="Arial" w:cs="Arial"/>
          <w:color w:val="000000" w:themeColor="text1"/>
          <w:kern w:val="0"/>
          <w:sz w:val="21"/>
          <w:szCs w:val="21"/>
          <w14:textFill>
            <w14:solidFill>
              <w14:schemeClr w14:val="tx1"/>
            </w14:solidFill>
          </w14:textFill>
        </w:rPr>
        <w:t>计算本工程混凝土生产系统小时生产能力</w:t>
      </w:r>
      <w:r>
        <w:rPr>
          <w:rFonts w:ascii="Arial" w:hAnsi="Arial" w:cs="Arial"/>
          <w:color w:val="000000" w:themeColor="text1"/>
          <w:kern w:val="0"/>
          <w:sz w:val="21"/>
          <w:szCs w:val="21"/>
          <w14:textFill>
            <w14:solidFill>
              <w14:schemeClr w14:val="tx1"/>
            </w14:solidFill>
          </w14:textFill>
        </w:rPr>
        <w:t>P</w:t>
      </w:r>
      <w:r>
        <w:rPr>
          <w:rFonts w:hint="eastAsia" w:ascii="Arial" w:hAnsi="Arial" w:cs="Arial"/>
          <w:color w:val="000000" w:themeColor="text1"/>
          <w:kern w:val="0"/>
          <w:sz w:val="21"/>
          <w:szCs w:val="21"/>
          <w14:textFill>
            <w14:solidFill>
              <w14:schemeClr w14:val="tx1"/>
            </w14:solidFill>
          </w14:textFill>
        </w:rPr>
        <w:t>，相关参数为：混凝土高峰月浇筑强度为</w:t>
      </w:r>
      <w:r>
        <w:rPr>
          <w:rFonts w:ascii="Arial" w:hAnsi="Arial" w:cs="Arial"/>
          <w:color w:val="000000" w:themeColor="text1"/>
          <w:kern w:val="0"/>
          <w:sz w:val="21"/>
          <w:szCs w:val="21"/>
          <w14:textFill>
            <w14:solidFill>
              <w14:schemeClr w14:val="tx1"/>
            </w14:solidFill>
          </w14:textFill>
        </w:rPr>
        <w:t>15</w:t>
      </w:r>
      <w:r>
        <w:rPr>
          <w:rFonts w:hint="eastAsia" w:ascii="Arial" w:hAnsi="Arial" w:cs="Arial"/>
          <w:color w:val="000000" w:themeColor="text1"/>
          <w:kern w:val="0"/>
          <w:sz w:val="21"/>
          <w:szCs w:val="21"/>
          <w14:textFill>
            <w14:solidFill>
              <w14:schemeClr w14:val="tx1"/>
            </w14:solidFill>
          </w14:textFill>
        </w:rPr>
        <w:t>万</w:t>
      </w:r>
      <w:r>
        <w:rPr>
          <w:rFonts w:ascii="Arial" w:hAnsi="Arial" w:cs="Arial"/>
          <w:color w:val="000000" w:themeColor="text1"/>
          <w:kern w:val="0"/>
          <w:sz w:val="21"/>
          <w:szCs w:val="21"/>
          <w14:textFill>
            <w14:solidFill>
              <w14:schemeClr w14:val="tx1"/>
            </w14:solidFill>
          </w14:textFill>
        </w:rPr>
        <w:t>m³</w:t>
      </w:r>
      <w:r>
        <w:rPr>
          <w:rFonts w:hint="eastAsia" w:ascii="Arial" w:hAnsi="Arial" w:cs="Arial"/>
          <w:color w:val="000000" w:themeColor="text1"/>
          <w:kern w:val="0"/>
          <w:sz w:val="21"/>
          <w:szCs w:val="21"/>
          <w14:textFill>
            <w14:solidFill>
              <w14:schemeClr w14:val="tx1"/>
            </w14:solidFill>
          </w14:textFill>
        </w:rPr>
        <w:t>，每月工作日数取</w:t>
      </w:r>
      <w:r>
        <w:rPr>
          <w:rFonts w:ascii="Arial" w:hAnsi="Arial" w:cs="Arial"/>
          <w:color w:val="000000" w:themeColor="text1"/>
          <w:kern w:val="0"/>
          <w:sz w:val="21"/>
          <w:szCs w:val="21"/>
          <w14:textFill>
            <w14:solidFill>
              <w14:schemeClr w14:val="tx1"/>
            </w14:solidFill>
          </w14:textFill>
        </w:rPr>
        <w:t>25d</w:t>
      </w:r>
      <w:r>
        <w:rPr>
          <w:rFonts w:hint="eastAsia" w:ascii="Arial" w:hAnsi="Arial" w:cs="Arial"/>
          <w:color w:val="000000" w:themeColor="text1"/>
          <w:kern w:val="0"/>
          <w:sz w:val="21"/>
          <w:szCs w:val="21"/>
          <w14:textFill>
            <w14:solidFill>
              <w14:schemeClr w14:val="tx1"/>
            </w14:solidFill>
          </w14:textFill>
        </w:rPr>
        <w:t>，每日工作时数取</w:t>
      </w:r>
      <w:r>
        <w:rPr>
          <w:rFonts w:ascii="Arial" w:hAnsi="Arial" w:cs="Arial"/>
          <w:color w:val="000000" w:themeColor="text1"/>
          <w:kern w:val="0"/>
          <w:sz w:val="21"/>
          <w:szCs w:val="21"/>
          <w14:textFill>
            <w14:solidFill>
              <w14:schemeClr w14:val="tx1"/>
            </w14:solidFill>
          </w14:textFill>
        </w:rPr>
        <w:t>20h</w:t>
      </w:r>
      <w:r>
        <w:rPr>
          <w:rFonts w:hint="eastAsia" w:ascii="Arial" w:hAnsi="Arial" w:cs="Arial"/>
          <w:color w:val="000000" w:themeColor="text1"/>
          <w:kern w:val="0"/>
          <w:sz w:val="21"/>
          <w:szCs w:val="21"/>
          <w14:textFill>
            <w14:solidFill>
              <w14:schemeClr w14:val="tx1"/>
            </w14:solidFill>
          </w14:textFill>
        </w:rPr>
        <w:t>，小时不均匀系数取</w:t>
      </w:r>
      <w:r>
        <w:rPr>
          <w:rFonts w:ascii="Arial" w:hAnsi="Arial" w:cs="Arial"/>
          <w:color w:val="000000" w:themeColor="text1"/>
          <w:kern w:val="0"/>
          <w:sz w:val="21"/>
          <w:szCs w:val="21"/>
          <w14:textFill>
            <w14:solidFill>
              <w14:schemeClr w14:val="tx1"/>
            </w14:solidFill>
          </w14:textFill>
        </w:rPr>
        <w:t>1.5</w:t>
      </w:r>
      <w:r>
        <w:rPr>
          <w:rFonts w:hint="eastAsia" w:ascii="Arial" w:hAnsi="Arial" w:cs="Arial"/>
          <w:color w:val="000000" w:themeColor="text1"/>
          <w:kern w:val="0"/>
          <w:sz w:val="21"/>
          <w:szCs w:val="21"/>
          <w14:textFill>
            <w14:solidFill>
              <w14:schemeClr w14:val="tx1"/>
            </w14:solidFill>
          </w14:textFill>
        </w:rPr>
        <w:t>。</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事件五：本枢纽工程导（截）流验收前，经检查，验收条件全部具备，其中包括：（1）截流后壅高水位以下的移民搬迁及库底清理已完成并通过验收；</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（2）碍航问题已得到解决；</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（3）满足截流要求的水下隐蔽工程已完成等。</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hint="eastAsia" w:ascii="Arial" w:hAnsi="Arial" w:cs="Arial"/>
          <w:color w:val="000000" w:themeColor="text1"/>
          <w:kern w:val="0"/>
          <w:sz w:val="21"/>
          <w:szCs w:val="21"/>
          <w14:textFill>
            <w14:solidFill>
              <w14:schemeClr w14:val="tx1"/>
            </w14:solidFill>
          </w14:textFill>
        </w:rPr>
        <w:t>项目法人主持进行了该枢纽工程导（截）流验收，验收委员会由竣工验收主持单位、设计单位、监理单位、质量和安全监督机构、地方人民政府有关部门、运行管理单位的代表及相关专家等组成。</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【问题】：</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 xml:space="preserve">1. </w:t>
      </w:r>
      <w:r>
        <w:rPr>
          <w:rFonts w:hint="eastAsia" w:ascii="Arial" w:hAnsi="Arial" w:cs="Arial"/>
          <w:color w:val="000000" w:themeColor="text1"/>
          <w:kern w:val="0"/>
          <w:sz w:val="21"/>
          <w:szCs w:val="21"/>
          <w14:textFill>
            <w14:solidFill>
              <w14:schemeClr w14:val="tx1"/>
            </w14:solidFill>
          </w14:textFill>
        </w:rPr>
        <w:t>根据《水利水电工程施工质量检验与评定规程》SL176-2007，指出事件一中该单位工程应包括的其他分部工程名称；该单位工程的主要分部工程是什么？</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2.</w:t>
      </w:r>
      <w:r>
        <w:rPr>
          <w:rFonts w:hint="eastAsia" w:ascii="Arial" w:hAnsi="Arial" w:cs="Arial"/>
          <w:color w:val="000000" w:themeColor="text1"/>
          <w:kern w:val="0"/>
          <w:sz w:val="21"/>
          <w:szCs w:val="21"/>
          <w14:textFill>
            <w14:solidFill>
              <w14:schemeClr w14:val="tx1"/>
            </w14:solidFill>
          </w14:textFill>
        </w:rPr>
        <w:t xml:space="preserve"> 指出事件二中施工分区规划布置还应遵守的其他原则。</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3.</w:t>
      </w:r>
      <w:r>
        <w:rPr>
          <w:rFonts w:hint="eastAsia" w:ascii="Arial" w:hAnsi="Arial" w:cs="Arial"/>
          <w:color w:val="000000" w:themeColor="text1"/>
          <w:kern w:val="0"/>
          <w:sz w:val="21"/>
          <w:szCs w:val="21"/>
          <w14:textFill>
            <w14:solidFill>
              <w14:schemeClr w14:val="tx1"/>
            </w14:solidFill>
          </w14:textFill>
        </w:rPr>
        <w:t xml:space="preserve"> </w:t>
      </w:r>
      <w:r>
        <w:rPr>
          <w:rFonts w:ascii="Arial" w:hAnsi="Arial" w:cs="Arial"/>
          <w:color w:val="000000" w:themeColor="text1"/>
          <w:kern w:val="0"/>
          <w:sz w:val="21"/>
          <w:szCs w:val="21"/>
          <w14:textFill>
            <w14:solidFill>
              <w14:schemeClr w14:val="tx1"/>
            </w14:solidFill>
          </w14:textFill>
        </w:rPr>
        <w:t>结合本工程具体情况，事件三中主要施工</w:t>
      </w:r>
      <w:r>
        <w:rPr>
          <w:rFonts w:hint="eastAsia" w:ascii="Arial" w:hAnsi="Arial" w:cs="Arial"/>
          <w:color w:val="000000" w:themeColor="text1"/>
          <w:kern w:val="0"/>
          <w:sz w:val="21"/>
          <w:szCs w:val="21"/>
          <w14:textFill>
            <w14:solidFill>
              <w14:schemeClr w14:val="tx1"/>
            </w14:solidFill>
          </w14:textFill>
        </w:rPr>
        <w:t>工厂</w:t>
      </w:r>
      <w:r>
        <w:rPr>
          <w:rFonts w:ascii="Arial" w:hAnsi="Arial" w:cs="Arial"/>
          <w:color w:val="000000" w:themeColor="text1"/>
          <w:kern w:val="0"/>
          <w:sz w:val="21"/>
          <w:szCs w:val="21"/>
          <w14:textFill>
            <w14:solidFill>
              <w14:schemeClr w14:val="tx1"/>
            </w14:solidFill>
          </w14:textFill>
        </w:rPr>
        <w:t>设施还</w:t>
      </w:r>
      <w:r>
        <w:rPr>
          <w:rFonts w:hint="eastAsia" w:ascii="Arial" w:hAnsi="Arial" w:cs="Arial"/>
          <w:color w:val="000000" w:themeColor="text1"/>
          <w:kern w:val="0"/>
          <w:sz w:val="21"/>
          <w:szCs w:val="21"/>
          <w14:textFill>
            <w14:solidFill>
              <w14:schemeClr w14:val="tx1"/>
            </w14:solidFill>
          </w14:textFill>
        </w:rPr>
        <w:t>应</w:t>
      </w:r>
      <w:r>
        <w:rPr>
          <w:rFonts w:ascii="Arial" w:hAnsi="Arial" w:cs="Arial"/>
          <w:color w:val="000000" w:themeColor="text1"/>
          <w:kern w:val="0"/>
          <w:sz w:val="21"/>
          <w:szCs w:val="21"/>
          <w14:textFill>
            <w14:solidFill>
              <w14:schemeClr w14:val="tx1"/>
            </w14:solidFill>
          </w14:textFill>
        </w:rPr>
        <w:t>包括哪些?</w:t>
      </w:r>
      <w:r>
        <w:rPr>
          <w:rFonts w:hint="eastAsia" w:ascii="Arial" w:hAnsi="Arial" w:cs="Arial"/>
          <w:color w:val="000000" w:themeColor="text1"/>
          <w:kern w:val="0"/>
          <w:sz w:val="21"/>
          <w:szCs w:val="21"/>
          <w14:textFill>
            <w14:solidFill>
              <w14:schemeClr w14:val="tx1"/>
            </w14:solidFill>
          </w14:textFill>
        </w:rPr>
        <w:t xml:space="preserve"> </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4.</w:t>
      </w:r>
      <w:r>
        <w:rPr>
          <w:rFonts w:hint="eastAsia" w:ascii="Arial" w:hAnsi="Arial" w:cs="Arial"/>
          <w:color w:val="000000" w:themeColor="text1"/>
          <w:kern w:val="0"/>
          <w:sz w:val="21"/>
          <w:szCs w:val="21"/>
          <w14:textFill>
            <w14:solidFill>
              <w14:schemeClr w14:val="tx1"/>
            </w14:solidFill>
          </w14:textFill>
        </w:rPr>
        <w:t xml:space="preserve"> </w:t>
      </w:r>
      <w:r>
        <w:rPr>
          <w:rFonts w:ascii="Arial" w:hAnsi="Arial" w:cs="Arial"/>
          <w:color w:val="000000" w:themeColor="text1"/>
          <w:kern w:val="0"/>
          <w:sz w:val="21"/>
          <w:szCs w:val="21"/>
          <w14:textFill>
            <w14:solidFill>
              <w14:schemeClr w14:val="tx1"/>
            </w14:solidFill>
          </w14:textFill>
        </w:rPr>
        <w:t>计算事件四中混凝土生产系统单位小时</w:t>
      </w:r>
      <w:r>
        <w:rPr>
          <w:rFonts w:hint="eastAsia" w:ascii="Arial" w:hAnsi="Arial" w:cs="Arial"/>
          <w:color w:val="000000" w:themeColor="text1"/>
          <w:kern w:val="0"/>
          <w:sz w:val="21"/>
          <w:szCs w:val="21"/>
          <w14:textFill>
            <w14:solidFill>
              <w14:schemeClr w14:val="tx1"/>
            </w14:solidFill>
          </w14:textFill>
        </w:rPr>
        <w:t>生产</w:t>
      </w:r>
      <w:r>
        <w:rPr>
          <w:rFonts w:ascii="Arial" w:hAnsi="Arial" w:cs="Arial"/>
          <w:color w:val="000000" w:themeColor="text1"/>
          <w:kern w:val="0"/>
          <w:sz w:val="21"/>
          <w:szCs w:val="21"/>
          <w14:textFill>
            <w14:solidFill>
              <w14:schemeClr w14:val="tx1"/>
            </w14:solidFill>
          </w14:textFill>
        </w:rPr>
        <w:t>能力P。</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5.</w:t>
      </w:r>
      <w:r>
        <w:rPr>
          <w:rFonts w:hint="eastAsia" w:ascii="Arial" w:hAnsi="Arial" w:cs="Arial"/>
          <w:color w:val="000000" w:themeColor="text1"/>
          <w:kern w:val="0"/>
          <w:sz w:val="21"/>
          <w:szCs w:val="21"/>
          <w14:textFill>
            <w14:solidFill>
              <w14:schemeClr w14:val="tx1"/>
            </w14:solidFill>
          </w14:textFill>
        </w:rPr>
        <w:t xml:space="preserve"> </w:t>
      </w:r>
      <w:r>
        <w:rPr>
          <w:rFonts w:ascii="Arial" w:hAnsi="Arial" w:cs="Arial"/>
          <w:color w:val="000000" w:themeColor="text1"/>
          <w:kern w:val="0"/>
          <w:sz w:val="21"/>
          <w:szCs w:val="21"/>
          <w14:textFill>
            <w14:solidFill>
              <w14:schemeClr w14:val="tx1"/>
            </w14:solidFill>
          </w14:textFill>
        </w:rPr>
        <w:t>根据《水利水电建设工程验收规程》</w:t>
      </w:r>
      <w:r>
        <w:rPr>
          <w:rFonts w:hint="eastAsia" w:ascii="Arial" w:hAnsi="Arial" w:cs="Arial"/>
          <w:color w:val="000000" w:themeColor="text1"/>
          <w:kern w:val="0"/>
          <w:sz w:val="21"/>
          <w:szCs w:val="21"/>
          <w14:textFill>
            <w14:solidFill>
              <w14:schemeClr w14:val="tx1"/>
            </w14:solidFill>
          </w14:textFill>
        </w:rPr>
        <w:t>SL233-2008，</w:t>
      </w:r>
      <w:r>
        <w:rPr>
          <w:rFonts w:ascii="Arial" w:hAnsi="Arial" w:cs="Arial"/>
          <w:color w:val="000000" w:themeColor="text1"/>
          <w:kern w:val="0"/>
          <w:sz w:val="21"/>
          <w:szCs w:val="21"/>
          <w14:textFill>
            <w14:solidFill>
              <w14:schemeClr w14:val="tx1"/>
            </w14:solidFill>
          </w14:textFill>
        </w:rPr>
        <w:t>补充说明事件五中导(截)流验收具备的其他条件。</w:t>
      </w:r>
    </w:p>
    <w:p>
      <w:pPr>
        <w:widowControl/>
        <w:spacing w:before="75" w:after="75" w:line="360" w:lineRule="auto"/>
        <w:jc w:val="left"/>
        <w:rPr>
          <w:rFonts w:hint="eastAsia"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6.</w:t>
      </w:r>
      <w:r>
        <w:rPr>
          <w:rFonts w:hint="eastAsia" w:ascii="Arial" w:hAnsi="Arial" w:cs="Arial"/>
          <w:color w:val="000000" w:themeColor="text1"/>
          <w:kern w:val="0"/>
          <w:sz w:val="21"/>
          <w:szCs w:val="21"/>
          <w14:textFill>
            <w14:solidFill>
              <w14:schemeClr w14:val="tx1"/>
            </w14:solidFill>
          </w14:textFill>
        </w:rPr>
        <w:t xml:space="preserve"> </w:t>
      </w:r>
      <w:r>
        <w:rPr>
          <w:rFonts w:ascii="Arial" w:hAnsi="Arial" w:cs="Arial"/>
          <w:color w:val="000000" w:themeColor="text1"/>
          <w:kern w:val="0"/>
          <w:sz w:val="21"/>
          <w:szCs w:val="21"/>
          <w14:textFill>
            <w14:solidFill>
              <w14:schemeClr w14:val="tx1"/>
            </w14:solidFill>
          </w14:textFill>
        </w:rPr>
        <w:t>根据《水利水电建设工程验收规程》</w:t>
      </w:r>
      <w:r>
        <w:rPr>
          <w:rFonts w:hint="eastAsia" w:ascii="Arial" w:hAnsi="Arial" w:cs="Arial"/>
          <w:color w:val="000000" w:themeColor="text1"/>
          <w:kern w:val="0"/>
          <w:sz w:val="21"/>
          <w:szCs w:val="21"/>
          <w14:textFill>
            <w14:solidFill>
              <w14:schemeClr w14:val="tx1"/>
            </w14:solidFill>
          </w14:textFill>
        </w:rPr>
        <w:t>SL233-2008</w:t>
      </w:r>
      <w:r>
        <w:rPr>
          <w:rFonts w:ascii="Arial" w:hAnsi="Arial" w:cs="Arial"/>
          <w:color w:val="000000" w:themeColor="text1"/>
          <w:kern w:val="0"/>
          <w:sz w:val="21"/>
          <w:szCs w:val="21"/>
          <w14:textFill>
            <w14:solidFill>
              <w14:schemeClr w14:val="tx1"/>
            </w14:solidFill>
          </w14:textFill>
        </w:rPr>
        <w:t>，指出并改正事件五中导(截)流验收组织</w:t>
      </w:r>
      <w:r>
        <w:rPr>
          <w:rFonts w:hint="eastAsia" w:ascii="Arial" w:hAnsi="Arial" w:cs="Arial"/>
          <w:color w:val="000000" w:themeColor="text1"/>
          <w:kern w:val="0"/>
          <w:sz w:val="21"/>
          <w:szCs w:val="21"/>
          <w14:textFill>
            <w14:solidFill>
              <w14:schemeClr w14:val="tx1"/>
            </w14:solidFill>
          </w14:textFill>
        </w:rPr>
        <w:t>的</w:t>
      </w:r>
      <w:r>
        <w:rPr>
          <w:rFonts w:ascii="Arial" w:hAnsi="Arial" w:cs="Arial"/>
          <w:color w:val="000000" w:themeColor="text1"/>
          <w:kern w:val="0"/>
          <w:sz w:val="21"/>
          <w:szCs w:val="21"/>
          <w14:textFill>
            <w14:solidFill>
              <w14:schemeClr w14:val="tx1"/>
            </w14:solidFill>
          </w14:textFill>
        </w:rPr>
        <w:t>不妥之处。</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w:t>
      </w:r>
      <w:r>
        <w:rPr>
          <w:rFonts w:hint="eastAsia" w:ascii="宋体" w:hAnsi="宋体" w:cs="宋体"/>
          <w:color w:val="000000" w:themeColor="text1"/>
          <w:kern w:val="0"/>
          <w:sz w:val="21"/>
          <w:szCs w:val="21"/>
          <w:lang w:val="en-US" w:eastAsia="zh-CN"/>
          <w14:textFill>
            <w14:solidFill>
              <w14:schemeClr w14:val="tx1"/>
            </w14:solidFill>
          </w14:textFill>
        </w:rPr>
        <w:t>233网校名师</w:t>
      </w:r>
      <w:r>
        <w:rPr>
          <w:rFonts w:ascii="Arial" w:hAnsi="Arial" w:cs="Arial"/>
          <w:color w:val="000000" w:themeColor="text1"/>
          <w:kern w:val="0"/>
          <w:sz w:val="21"/>
          <w:szCs w:val="21"/>
          <w14:textFill>
            <w14:solidFill>
              <w14:schemeClr w14:val="tx1"/>
            </w14:solidFill>
          </w14:textFill>
        </w:rPr>
        <w:t>答案】</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1.其他分部工程</w:t>
      </w:r>
      <w:r>
        <w:rPr>
          <w:rFonts w:hint="eastAsia" w:ascii="Arial" w:hAnsi="Arial" w:cs="Arial"/>
          <w:color w:val="000000" w:themeColor="text1"/>
          <w:kern w:val="0"/>
          <w:sz w:val="21"/>
          <w:szCs w:val="21"/>
          <w14:textFill>
            <w14:solidFill>
              <w14:schemeClr w14:val="tx1"/>
            </w14:solidFill>
          </w14:textFill>
        </w:rPr>
        <w:t>：变电站（土建）、主变压器安装、交通洞。</w:t>
      </w:r>
      <w:r>
        <w:rPr>
          <w:rFonts w:ascii="Arial" w:hAnsi="Arial" w:cs="Arial"/>
          <w:color w:val="000000" w:themeColor="text1"/>
          <w:kern w:val="0"/>
          <w:sz w:val="21"/>
          <w:szCs w:val="21"/>
          <w14:textFill>
            <w14:solidFill>
              <w14:schemeClr w14:val="tx1"/>
            </w14:solidFill>
          </w14:textFill>
        </w:rPr>
        <w:t>主要分部</w:t>
      </w:r>
      <w:r>
        <w:rPr>
          <w:rFonts w:hint="eastAsia" w:ascii="Arial" w:hAnsi="Arial" w:cs="Arial"/>
          <w:color w:val="000000" w:themeColor="text1"/>
          <w:kern w:val="0"/>
          <w:sz w:val="21"/>
          <w:szCs w:val="21"/>
          <w14:textFill>
            <w14:solidFill>
              <w14:schemeClr w14:val="tx1"/>
            </w14:solidFill>
          </w14:textFill>
        </w:rPr>
        <w:t>工程：主变压器安装</w:t>
      </w:r>
      <w:r>
        <w:rPr>
          <w:rFonts w:ascii="Arial" w:hAnsi="Arial" w:cs="Arial"/>
          <w:color w:val="000000" w:themeColor="text1"/>
          <w:kern w:val="0"/>
          <w:sz w:val="21"/>
          <w:szCs w:val="21"/>
          <w14:textFill>
            <w14:solidFill>
              <w14:schemeClr w14:val="tx1"/>
            </w14:solidFill>
          </w14:textFill>
        </w:rPr>
        <w:t>。</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2.施工区域规划布置</w:t>
      </w:r>
      <w:r>
        <w:rPr>
          <w:rFonts w:hint="eastAsia" w:ascii="Arial" w:hAnsi="Arial" w:cs="Arial"/>
          <w:color w:val="000000" w:themeColor="text1"/>
          <w:kern w:val="0"/>
          <w:sz w:val="21"/>
          <w:szCs w:val="21"/>
          <w14:textFill>
            <w14:solidFill>
              <w14:schemeClr w14:val="tx1"/>
            </w14:solidFill>
          </w14:textFill>
        </w:rPr>
        <w:t>还</w:t>
      </w:r>
      <w:r>
        <w:rPr>
          <w:rFonts w:ascii="Arial" w:hAnsi="Arial" w:cs="Arial"/>
          <w:color w:val="000000" w:themeColor="text1"/>
          <w:kern w:val="0"/>
          <w:sz w:val="21"/>
          <w:szCs w:val="21"/>
          <w14:textFill>
            <w14:solidFill>
              <w14:schemeClr w14:val="tx1"/>
            </w14:solidFill>
          </w14:textFill>
        </w:rPr>
        <w:t>应遵守的原则：(1)</w:t>
      </w:r>
      <w:r>
        <w:rPr>
          <w:rFonts w:hint="eastAsia" w:ascii="Arial" w:hAnsi="Arial" w:cs="Arial"/>
          <w:color w:val="000000" w:themeColor="text1"/>
          <w:kern w:val="0"/>
          <w:sz w:val="21"/>
          <w:szCs w:val="21"/>
          <w14:textFill>
            <w14:solidFill>
              <w14:schemeClr w14:val="tx1"/>
            </w14:solidFill>
          </w14:textFill>
        </w:rPr>
        <w:t>因本工程是以混凝土建筑物为主的枢纽工程，故</w:t>
      </w:r>
      <w:r>
        <w:rPr>
          <w:rFonts w:ascii="Arial" w:hAnsi="Arial" w:cs="Arial"/>
          <w:color w:val="000000" w:themeColor="text1"/>
          <w:kern w:val="0"/>
          <w:sz w:val="21"/>
          <w:szCs w:val="21"/>
          <w14:textFill>
            <w14:solidFill>
              <w14:schemeClr w14:val="tx1"/>
            </w14:solidFill>
          </w14:textFill>
        </w:rPr>
        <w:t>施工区布置</w:t>
      </w:r>
      <w:r>
        <w:rPr>
          <w:rFonts w:hint="eastAsia" w:ascii="Arial" w:hAnsi="Arial" w:cs="Arial"/>
          <w:color w:val="000000" w:themeColor="text1"/>
          <w:kern w:val="0"/>
          <w:sz w:val="21"/>
          <w:szCs w:val="21"/>
          <w14:textFill>
            <w14:solidFill>
              <w14:schemeClr w14:val="tx1"/>
            </w14:solidFill>
          </w14:textFill>
        </w:rPr>
        <w:t>应以</w:t>
      </w:r>
      <w:r>
        <w:rPr>
          <w:rFonts w:ascii="Arial" w:hAnsi="Arial" w:cs="Arial"/>
          <w:color w:val="000000" w:themeColor="text1"/>
          <w:kern w:val="0"/>
          <w:sz w:val="21"/>
          <w:szCs w:val="21"/>
          <w14:textFill>
            <w14:solidFill>
              <w14:schemeClr w14:val="tx1"/>
            </w14:solidFill>
          </w14:textFill>
        </w:rPr>
        <w:t>砂石料的加工和混凝土</w:t>
      </w:r>
      <w:r>
        <w:rPr>
          <w:rFonts w:hint="eastAsia" w:ascii="Arial" w:hAnsi="Arial" w:cs="Arial"/>
          <w:color w:val="000000" w:themeColor="text1"/>
          <w:kern w:val="0"/>
          <w:sz w:val="21"/>
          <w:szCs w:val="21"/>
          <w14:textFill>
            <w14:solidFill>
              <w14:schemeClr w14:val="tx1"/>
            </w14:solidFill>
          </w14:textFill>
        </w:rPr>
        <w:t>生产</w:t>
      </w:r>
      <w:r>
        <w:rPr>
          <w:rFonts w:ascii="Arial" w:hAnsi="Arial" w:cs="Arial"/>
          <w:color w:val="000000" w:themeColor="text1"/>
          <w:kern w:val="0"/>
          <w:sz w:val="21"/>
          <w:szCs w:val="21"/>
          <w14:textFill>
            <w14:solidFill>
              <w14:schemeClr w14:val="tx1"/>
            </w14:solidFill>
          </w14:textFill>
        </w:rPr>
        <w:t>系统为主； (2)</w:t>
      </w:r>
      <w:r>
        <w:rPr>
          <w:rFonts w:hint="eastAsia" w:ascii="Arial" w:hAnsi="Arial" w:cs="Arial"/>
          <w:color w:val="000000" w:themeColor="text1"/>
          <w:kern w:val="0"/>
          <w:sz w:val="21"/>
          <w:szCs w:val="21"/>
          <w14:textFill>
            <w14:solidFill>
              <w14:schemeClr w14:val="tx1"/>
            </w14:solidFill>
          </w14:textFill>
        </w:rPr>
        <w:t>还应</w:t>
      </w:r>
      <w:r>
        <w:rPr>
          <w:rFonts w:ascii="Arial" w:hAnsi="Arial" w:cs="Arial"/>
          <w:color w:val="000000" w:themeColor="text1"/>
          <w:kern w:val="0"/>
          <w:sz w:val="21"/>
          <w:szCs w:val="21"/>
          <w14:textFill>
            <w14:solidFill>
              <w14:schemeClr w14:val="tx1"/>
            </w14:solidFill>
          </w14:textFill>
        </w:rPr>
        <w:t>考虑施工对周围环境的影响，避免噪音、粉尘等污染对敏感区的危害。</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3.主要施工工厂设施还</w:t>
      </w:r>
      <w:r>
        <w:rPr>
          <w:rFonts w:hint="eastAsia" w:ascii="Arial" w:hAnsi="Arial" w:cs="Arial"/>
          <w:color w:val="000000" w:themeColor="text1"/>
          <w:kern w:val="0"/>
          <w:sz w:val="21"/>
          <w:szCs w:val="21"/>
          <w14:textFill>
            <w14:solidFill>
              <w14:schemeClr w14:val="tx1"/>
            </w14:solidFill>
          </w14:textFill>
        </w:rPr>
        <w:t>有：混凝土生产系统，砂石料加工系统，风水电供应系统，综合加工厂（</w:t>
      </w:r>
      <w:r>
        <w:rPr>
          <w:rFonts w:ascii="Arial" w:hAnsi="Arial" w:cs="Arial"/>
          <w:color w:val="000000" w:themeColor="text1"/>
          <w:kern w:val="0"/>
          <w:sz w:val="21"/>
          <w:szCs w:val="21"/>
          <w14:textFill>
            <w14:solidFill>
              <w14:schemeClr w14:val="tx1"/>
            </w14:solidFill>
          </w14:textFill>
        </w:rPr>
        <w:t>包括木材加工厂、钢筋加工厂</w:t>
      </w:r>
      <w:r>
        <w:rPr>
          <w:rFonts w:hint="eastAsia" w:ascii="Arial" w:hAnsi="Arial" w:cs="Arial"/>
          <w:color w:val="000000" w:themeColor="text1"/>
          <w:kern w:val="0"/>
          <w:sz w:val="21"/>
          <w:szCs w:val="21"/>
          <w14:textFill>
            <w14:solidFill>
              <w14:schemeClr w14:val="tx1"/>
            </w14:solidFill>
          </w14:textFill>
        </w:rPr>
        <w:t>、混凝土预制构件厂）</w:t>
      </w:r>
      <w:r>
        <w:rPr>
          <w:rFonts w:ascii="Arial" w:hAnsi="Arial" w:cs="Arial"/>
          <w:color w:val="000000" w:themeColor="text1"/>
          <w:kern w:val="0"/>
          <w:sz w:val="21"/>
          <w:szCs w:val="21"/>
          <w14:textFill>
            <w14:solidFill>
              <w14:schemeClr w14:val="tx1"/>
            </w14:solidFill>
          </w14:textFill>
        </w:rPr>
        <w:t>。</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4.</w:t>
      </w:r>
      <w:r>
        <w:rPr>
          <w:rFonts w:hint="eastAsia" w:ascii="Arial" w:hAnsi="Arial" w:cs="Arial"/>
          <w:color w:val="000000" w:themeColor="text1"/>
          <w:kern w:val="0"/>
          <w:sz w:val="21"/>
          <w:szCs w:val="21"/>
          <w14:textFill>
            <w14:solidFill>
              <w14:schemeClr w14:val="tx1"/>
            </w14:solidFill>
          </w14:textFill>
        </w:rPr>
        <w:t>生产</w:t>
      </w:r>
      <w:r>
        <w:rPr>
          <w:rFonts w:ascii="Arial" w:hAnsi="Arial" w:cs="Arial"/>
          <w:color w:val="000000" w:themeColor="text1"/>
          <w:kern w:val="0"/>
          <w:sz w:val="21"/>
          <w:szCs w:val="21"/>
          <w14:textFill>
            <w14:solidFill>
              <w14:schemeClr w14:val="tx1"/>
            </w14:solidFill>
          </w14:textFill>
        </w:rPr>
        <w:t>能力：P=15*1.5*10000/20*25=450m3/h</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5.导截流验收应具备的其他条件：(1)导流工程</w:t>
      </w:r>
      <w:r>
        <w:rPr>
          <w:rFonts w:hint="eastAsia" w:ascii="Arial" w:hAnsi="Arial" w:cs="Arial"/>
          <w:color w:val="000000" w:themeColor="text1"/>
          <w:kern w:val="0"/>
          <w:sz w:val="21"/>
          <w:szCs w:val="21"/>
          <w14:textFill>
            <w14:solidFill>
              <w14:schemeClr w14:val="tx1"/>
            </w14:solidFill>
          </w14:textFill>
        </w:rPr>
        <w:t>已</w:t>
      </w:r>
      <w:r>
        <w:rPr>
          <w:rFonts w:ascii="Arial" w:hAnsi="Arial" w:cs="Arial"/>
          <w:color w:val="000000" w:themeColor="text1"/>
          <w:kern w:val="0"/>
          <w:sz w:val="21"/>
          <w:szCs w:val="21"/>
          <w14:textFill>
            <w14:solidFill>
              <w14:schemeClr w14:val="tx1"/>
            </w14:solidFill>
          </w14:textFill>
        </w:rPr>
        <w:t>基本完成</w:t>
      </w:r>
      <w:r>
        <w:rPr>
          <w:rFonts w:hint="eastAsia" w:ascii="Arial" w:hAnsi="Arial" w:cs="Arial"/>
          <w:color w:val="000000" w:themeColor="text1"/>
          <w:kern w:val="0"/>
          <w:sz w:val="21"/>
          <w:szCs w:val="21"/>
          <w14:textFill>
            <w14:solidFill>
              <w14:schemeClr w14:val="tx1"/>
            </w14:solidFill>
          </w14:textFill>
        </w:rPr>
        <w:t>并</w:t>
      </w:r>
      <w:r>
        <w:rPr>
          <w:rFonts w:ascii="Arial" w:hAnsi="Arial" w:cs="Arial"/>
          <w:color w:val="000000" w:themeColor="text1"/>
          <w:kern w:val="0"/>
          <w:sz w:val="21"/>
          <w:szCs w:val="21"/>
          <w14:textFill>
            <w14:solidFill>
              <w14:schemeClr w14:val="tx1"/>
            </w14:solidFill>
          </w14:textFill>
        </w:rPr>
        <w:t>具备过流条件</w:t>
      </w:r>
      <w:r>
        <w:rPr>
          <w:rFonts w:hint="eastAsia" w:ascii="Arial" w:hAnsi="Arial" w:cs="Arial"/>
          <w:color w:val="000000" w:themeColor="text1"/>
          <w:kern w:val="0"/>
          <w:sz w:val="21"/>
          <w:szCs w:val="21"/>
          <w14:textFill>
            <w14:solidFill>
              <w14:schemeClr w14:val="tx1"/>
            </w14:solidFill>
          </w14:textFill>
        </w:rPr>
        <w:t>；</w:t>
      </w:r>
      <w:r>
        <w:rPr>
          <w:rFonts w:ascii="Arial" w:hAnsi="Arial" w:cs="Arial"/>
          <w:color w:val="000000" w:themeColor="text1"/>
          <w:kern w:val="0"/>
          <w:sz w:val="21"/>
          <w:szCs w:val="21"/>
          <w14:textFill>
            <w14:solidFill>
              <w14:schemeClr w14:val="tx1"/>
            </w14:solidFill>
          </w14:textFill>
        </w:rPr>
        <w:t>(2)截流设计已获批准，截流方案已编制完成</w:t>
      </w:r>
      <w:r>
        <w:rPr>
          <w:rFonts w:hint="eastAsia" w:ascii="Arial" w:hAnsi="Arial" w:cs="Arial"/>
          <w:color w:val="000000" w:themeColor="text1"/>
          <w:kern w:val="0"/>
          <w:sz w:val="21"/>
          <w:szCs w:val="21"/>
          <w14:textFill>
            <w14:solidFill>
              <w14:schemeClr w14:val="tx1"/>
            </w14:solidFill>
          </w14:textFill>
        </w:rPr>
        <w:t>；</w:t>
      </w:r>
      <w:r>
        <w:rPr>
          <w:rFonts w:ascii="Arial" w:hAnsi="Arial" w:cs="Arial"/>
          <w:color w:val="000000" w:themeColor="text1"/>
          <w:kern w:val="0"/>
          <w:sz w:val="21"/>
          <w:szCs w:val="21"/>
          <w14:textFill>
            <w14:solidFill>
              <w14:schemeClr w14:val="tx1"/>
            </w14:solidFill>
          </w14:textFill>
        </w:rPr>
        <w:t xml:space="preserve"> (3)度汛方案已经有管辖权的防汛指挥部门批准</w:t>
      </w:r>
      <w:r>
        <w:rPr>
          <w:rFonts w:hint="eastAsia" w:ascii="Arial" w:hAnsi="Arial" w:cs="Arial"/>
          <w:color w:val="000000" w:themeColor="text1"/>
          <w:kern w:val="0"/>
          <w:sz w:val="21"/>
          <w:szCs w:val="21"/>
          <w14:textFill>
            <w14:solidFill>
              <w14:schemeClr w14:val="tx1"/>
            </w14:solidFill>
          </w14:textFill>
        </w:rPr>
        <w:t>；（4）验收文件、资料已齐全、完整</w:t>
      </w:r>
      <w:r>
        <w:rPr>
          <w:rFonts w:ascii="Arial" w:hAnsi="Arial" w:cs="Arial"/>
          <w:color w:val="000000" w:themeColor="text1"/>
          <w:kern w:val="0"/>
          <w:sz w:val="21"/>
          <w:szCs w:val="21"/>
          <w14:textFill>
            <w14:solidFill>
              <w14:schemeClr w14:val="tx1"/>
            </w14:solidFill>
          </w14:textFill>
        </w:rPr>
        <w:t>。</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6.项目法人主持验收不妥</w:t>
      </w:r>
      <w:r>
        <w:rPr>
          <w:rFonts w:hint="eastAsia" w:ascii="Arial" w:hAnsi="Arial" w:cs="Arial"/>
          <w:color w:val="000000" w:themeColor="text1"/>
          <w:kern w:val="0"/>
          <w:sz w:val="21"/>
          <w:szCs w:val="21"/>
          <w14:textFill>
            <w14:solidFill>
              <w14:schemeClr w14:val="tx1"/>
            </w14:solidFill>
          </w14:textFill>
        </w:rPr>
        <w:t>，</w:t>
      </w:r>
      <w:r>
        <w:rPr>
          <w:rFonts w:ascii="Arial" w:hAnsi="Arial" w:cs="Arial"/>
          <w:color w:val="000000" w:themeColor="text1"/>
          <w:kern w:val="0"/>
          <w:sz w:val="21"/>
          <w:szCs w:val="21"/>
          <w14:textFill>
            <w14:solidFill>
              <w14:schemeClr w14:val="tx1"/>
            </w14:solidFill>
          </w14:textFill>
        </w:rPr>
        <w:t>应由竣工验收单位或其委托的单位主持</w:t>
      </w:r>
      <w:r>
        <w:rPr>
          <w:rFonts w:hint="eastAsia" w:ascii="Arial" w:hAnsi="Arial" w:cs="Arial"/>
          <w:color w:val="000000" w:themeColor="text1"/>
          <w:kern w:val="0"/>
          <w:sz w:val="21"/>
          <w:szCs w:val="21"/>
          <w14:textFill>
            <w14:solidFill>
              <w14:schemeClr w14:val="tx1"/>
            </w14:solidFill>
          </w14:textFill>
        </w:rPr>
        <w:t>；</w:t>
      </w:r>
      <w:r>
        <w:rPr>
          <w:rFonts w:ascii="Arial" w:hAnsi="Arial" w:cs="Arial"/>
          <w:color w:val="000000" w:themeColor="text1"/>
          <w:kern w:val="0"/>
          <w:sz w:val="21"/>
          <w:szCs w:val="21"/>
          <w14:textFill>
            <w14:solidFill>
              <w14:schemeClr w14:val="tx1"/>
            </w14:solidFill>
          </w14:textFill>
        </w:rPr>
        <w:t>设计单位</w:t>
      </w:r>
      <w:r>
        <w:rPr>
          <w:rFonts w:hint="eastAsia" w:ascii="Arial" w:hAnsi="Arial" w:cs="Arial"/>
          <w:color w:val="000000" w:themeColor="text1"/>
          <w:kern w:val="0"/>
          <w:sz w:val="21"/>
          <w:szCs w:val="21"/>
          <w14:textFill>
            <w14:solidFill>
              <w14:schemeClr w14:val="tx1"/>
            </w14:solidFill>
          </w14:textFill>
        </w:rPr>
        <w:t>、</w:t>
      </w:r>
      <w:r>
        <w:rPr>
          <w:rFonts w:ascii="Arial" w:hAnsi="Arial" w:cs="Arial"/>
          <w:color w:val="000000" w:themeColor="text1"/>
          <w:kern w:val="0"/>
          <w:sz w:val="21"/>
          <w:szCs w:val="21"/>
          <w14:textFill>
            <w14:solidFill>
              <w14:schemeClr w14:val="tx1"/>
            </w14:solidFill>
          </w14:textFill>
        </w:rPr>
        <w:t>监理单位作为验收委员会成员不妥</w:t>
      </w:r>
      <w:r>
        <w:rPr>
          <w:rFonts w:hint="eastAsia" w:ascii="Arial" w:hAnsi="Arial" w:cs="Arial"/>
          <w:color w:val="000000" w:themeColor="text1"/>
          <w:kern w:val="0"/>
          <w:sz w:val="21"/>
          <w:szCs w:val="21"/>
          <w14:textFill>
            <w14:solidFill>
              <w14:schemeClr w14:val="tx1"/>
            </w14:solidFill>
          </w14:textFill>
        </w:rPr>
        <w:t>，应</w:t>
      </w:r>
      <w:r>
        <w:rPr>
          <w:rFonts w:ascii="Arial" w:hAnsi="Arial" w:cs="Arial"/>
          <w:color w:val="000000" w:themeColor="text1"/>
          <w:kern w:val="0"/>
          <w:sz w:val="21"/>
          <w:szCs w:val="21"/>
          <w14:textFill>
            <w14:solidFill>
              <w14:schemeClr w14:val="tx1"/>
            </w14:solidFill>
          </w14:textFill>
        </w:rPr>
        <w:t>作为被验收单位在验收鉴定书上签字。</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 </w:t>
      </w:r>
    </w:p>
    <w:p>
      <w:pPr>
        <w:rPr>
          <w:color w:val="000000" w:themeColor="text1"/>
          <w14:textFill>
            <w14:solidFill>
              <w14:schemeClr w14:val="tx1"/>
            </w14:solidFill>
          </w14:textFill>
        </w:rPr>
      </w:pPr>
    </w:p>
    <w:sectPr>
      <w:headerReference r:id="rId5" w:type="first"/>
      <w:headerReference r:id="rId3" w:type="default"/>
      <w:footerReference r:id="rId6" w:type="default"/>
      <w:headerReference r:id="rId4" w:type="even"/>
      <w:pgSz w:w="11906" w:h="16838"/>
      <w:pgMar w:top="720" w:right="720" w:bottom="720" w:left="720" w:header="34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Adobe 宋体 Std L">
    <w:altName w:val="宋体"/>
    <w:panose1 w:val="02020300000000000000"/>
    <w:charset w:val="86"/>
    <w:family w:val="auto"/>
    <w:pitch w:val="default"/>
    <w:sig w:usb0="00000000" w:usb1="00000000" w:usb2="00000016" w:usb3="00000000" w:csb0="00060007" w:csb1="00000000"/>
  </w:font>
  <w:font w:name="MingLiU">
    <w:altName w:val="PMingLiU-ExtB"/>
    <w:panose1 w:val="02020509000000000000"/>
    <w:charset w:val="88"/>
    <w:family w:val="modern"/>
    <w:pitch w:val="default"/>
    <w:sig w:usb0="00000000" w:usb1="00000000" w:usb2="00000016" w:usb3="00000000" w:csb0="00100001" w:csb1="00000000"/>
  </w:font>
  <w:font w:name="Arial Narrow">
    <w:altName w:val="Arial"/>
    <w:panose1 w:val="020B0606020202030204"/>
    <w:charset w:val="00"/>
    <w:family w:val="swiss"/>
    <w:pitch w:val="default"/>
    <w:sig w:usb0="00000000" w:usb1="00000000" w:usb2="00000000" w:usb3="00000000" w:csb0="2000009F" w:csb1="DFD70000"/>
  </w:font>
  <w:font w:name="MS Mincho">
    <w:altName w:val="Yu Gothic UI"/>
    <w:panose1 w:val="02020609040205080304"/>
    <w:charset w:val="80"/>
    <w:family w:val="modern"/>
    <w:pitch w:val="default"/>
    <w:sig w:usb0="00000000" w:usb1="00000000" w:usb2="00000012" w:usb3="00000000" w:csb0="4002009F" w:csb1="DFD70000"/>
  </w:font>
  <w:font w:name="Garamond">
    <w:altName w:val="PMingLiU-ExtB"/>
    <w:panose1 w:val="02020404030301010803"/>
    <w:charset w:val="00"/>
    <w:family w:val="roman"/>
    <w:pitch w:val="default"/>
    <w:sig w:usb0="00000000" w:usb1="00000000" w:usb2="00000000" w:usb3="00000000" w:csb0="0000009F" w:csb1="DFD70000"/>
  </w:font>
  <w:font w:name="Bookman Old Style">
    <w:altName w:val="Segoe Print"/>
    <w:panose1 w:val="02050604050505020204"/>
    <w:charset w:val="00"/>
    <w:family w:val="roman"/>
    <w:pitch w:val="default"/>
    <w:sig w:usb0="00000000" w:usb1="00000000" w:usb2="00000000" w:usb3="00000000" w:csb0="2000009F" w:csb1="DFD70000"/>
  </w:font>
  <w:font w:name="Impact">
    <w:panose1 w:val="020B0806030902050204"/>
    <w:charset w:val="00"/>
    <w:family w:val="auto"/>
    <w:pitch w:val="default"/>
    <w:sig w:usb0="00000287" w:usb1="00000000" w:usb2="00000000" w:usb3="00000000" w:csb0="2000009F" w:csb1="DFD7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swiss"/>
    <w:pitch w:val="default"/>
    <w:sig w:usb0="80001AFF" w:usb1="0000396B" w:usb2="00000000" w:usb3="00000000" w:csb0="200000BF" w:csb1="D7F70000"/>
  </w:font>
  <w:font w:name="Sylfaen">
    <w:panose1 w:val="010A0502050306030303"/>
    <w:charset w:val="00"/>
    <w:family w:val="roman"/>
    <w:pitch w:val="default"/>
    <w:sig w:usb0="04000687" w:usb1="00000000" w:usb2="00000000" w:usb3="00000000" w:csb0="2000009F" w:csb1="00000000"/>
  </w:font>
  <w:font w:name="MS UI Gothic">
    <w:panose1 w:val="020B0600070205080204"/>
    <w:charset w:val="80"/>
    <w:family w:val="auto"/>
    <w:pitch w:val="default"/>
    <w:sig w:usb0="E00002FF" w:usb1="6AC7FDFB" w:usb2="08000012" w:usb3="00000000" w:csb0="4002009F" w:csb1="DFD70000"/>
  </w:font>
  <w:font w:name="MV Boli">
    <w:panose1 w:val="02000500030200090000"/>
    <w:charset w:val="00"/>
    <w:family w:val="auto"/>
    <w:pitch w:val="default"/>
    <w:sig w:usb0="00000003" w:usb1="00000000" w:usb2="000001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楷体_GB2312">
    <w:altName w:val="楷体"/>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DejaVu Sans">
    <w:altName w:val="Courier New"/>
    <w:panose1 w:val="00000000000000000000"/>
    <w:charset w:val="00"/>
    <w:family w:val="auto"/>
    <w:pitch w:val="default"/>
    <w:sig w:usb0="00000000" w:usb1="00000000" w:usb2="00000000" w:usb3="00000000" w:csb0="00040001" w:csb1="00000000"/>
  </w:font>
  <w:font w:name="PingFang SC">
    <w:altName w:val="Courier New"/>
    <w:panose1 w:val="00000000000000000000"/>
    <w:charset w:val="00"/>
    <w:family w:val="auto"/>
    <w:pitch w:val="default"/>
    <w:sig w:usb0="00000000"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黑体">
    <w:panose1 w:val="02010609060101010101"/>
    <w:charset w:val="50"/>
    <w:family w:val="auto"/>
    <w:pitch w:val="default"/>
    <w:sig w:usb0="800002BF" w:usb1="38CF7CFA" w:usb2="00000016" w:usb3="00000000" w:csb0="00040001" w:csb1="00000000"/>
  </w:font>
  <w:font w:name="MS Gothic">
    <w:panose1 w:val="020B0609070205080204"/>
    <w:charset w:val="4E"/>
    <w:family w:val="auto"/>
    <w:pitch w:val="default"/>
    <w:sig w:usb0="E00002FF" w:usb1="6AC7FDFB" w:usb2="08000012" w:usb3="00000000" w:csb0="4002009F" w:csb1="DFD70000"/>
  </w:font>
  <w:font w:name="ＭＳ 明朝">
    <w:altName w:val="Segoe Print"/>
    <w:panose1 w:val="00000000000000000000"/>
    <w:charset w:val="4E"/>
    <w:family w:val="auto"/>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6"/>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6"/>
            <w:pBdr>
              <w:bottom w:val="none" w:color="auto" w:sz="0" w:space="0"/>
            </w:pBdr>
            <w:rPr>
              <w:rFonts w:ascii="微软雅黑" w:hAnsi="微软雅黑" w:eastAsia="微软雅黑"/>
              <w:sz w:val="28"/>
              <w:szCs w:val="28"/>
            </w:rPr>
          </w:pPr>
          <w:r>
            <w:rPr>
              <w:rFonts w:hint="eastAsia" w:ascii="微软雅黑" w:hAnsi="微软雅黑" w:eastAsia="微软雅黑"/>
              <w:sz w:val="28"/>
              <w:szCs w:val="28"/>
            </w:rPr>
            <w:t>扫码下载233网校题库</w:t>
          </w:r>
        </w:p>
        <w:p>
          <w:pPr>
            <w:pStyle w:val="6"/>
            <w:pBdr>
              <w:bottom w:val="none" w:color="auto" w:sz="0" w:space="0"/>
            </w:pBdr>
          </w:pPr>
          <w:r>
            <w:rPr>
              <w:rFonts w:ascii="微软雅黑" w:hAnsi="微软雅黑" w:eastAsia="微软雅黑"/>
              <w:sz w:val="28"/>
              <w:szCs w:val="28"/>
            </w:rPr>
            <w:t>一刷就过，千万人掌上题库！</w:t>
          </w:r>
        </w:p>
      </w:tc>
    </w:tr>
  </w:tbl>
  <w:p>
    <w:pPr>
      <w:pStyle w:val="5"/>
      <w:tabs>
        <w:tab w:val="left" w:pos="270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6"/>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5"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6"/>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0"/>
              <w:rFonts w:hint="eastAsia" w:ascii="微软雅黑" w:hAnsi="微软雅黑" w:eastAsia="微软雅黑"/>
            </w:rPr>
            <w:t>www.233.com</w:t>
          </w:r>
          <w:r>
            <w:rPr>
              <w:rStyle w:val="10"/>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1050" cy="9768205"/>
          <wp:effectExtent l="0" t="0" r="6350" b="4445"/>
          <wp:wrapNone/>
          <wp:docPr id="4" name="WordPictureWatermark1032578454"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32578454"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3"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3"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6C"/>
    <w:rsid w:val="00056BDF"/>
    <w:rsid w:val="00096F3C"/>
    <w:rsid w:val="000B078D"/>
    <w:rsid w:val="000F27C9"/>
    <w:rsid w:val="00102E91"/>
    <w:rsid w:val="00151117"/>
    <w:rsid w:val="00155B7C"/>
    <w:rsid w:val="001A5EC4"/>
    <w:rsid w:val="001C44E1"/>
    <w:rsid w:val="002606B3"/>
    <w:rsid w:val="002E176C"/>
    <w:rsid w:val="00346707"/>
    <w:rsid w:val="0035267B"/>
    <w:rsid w:val="00482EEE"/>
    <w:rsid w:val="00611655"/>
    <w:rsid w:val="00677F79"/>
    <w:rsid w:val="00690A0D"/>
    <w:rsid w:val="00776125"/>
    <w:rsid w:val="007768FD"/>
    <w:rsid w:val="007D1165"/>
    <w:rsid w:val="008173E2"/>
    <w:rsid w:val="008D1CE2"/>
    <w:rsid w:val="00A43836"/>
    <w:rsid w:val="00A66CC1"/>
    <w:rsid w:val="00B356CB"/>
    <w:rsid w:val="00B54A83"/>
    <w:rsid w:val="00B96415"/>
    <w:rsid w:val="00C41609"/>
    <w:rsid w:val="00CE0A35"/>
    <w:rsid w:val="00E80697"/>
    <w:rsid w:val="00F56076"/>
    <w:rsid w:val="0F80133A"/>
    <w:rsid w:val="2DCA0958"/>
    <w:rsid w:val="46210286"/>
    <w:rsid w:val="65846593"/>
    <w:rsid w:val="738623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微软雅黑" w:hAnsi="宋体" w:eastAsia="微软雅黑" w:cs="宋体"/>
      <w:kern w:val="36"/>
      <w:sz w:val="48"/>
      <w:szCs w:val="48"/>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uiPriority w:val="99"/>
    <w:rPr>
      <w:rFonts w:ascii="宋体" w:hAnsi="Courier New"/>
      <w:szCs w:val="20"/>
    </w:rPr>
  </w:style>
  <w:style w:type="paragraph" w:styleId="4">
    <w:name w:val="Balloon Text"/>
    <w:basedOn w:val="1"/>
    <w:link w:val="15"/>
    <w:unhideWhenUsed/>
    <w:qFormat/>
    <w:uiPriority w:val="99"/>
    <w:rPr>
      <w:rFonts w:asciiTheme="minorHAnsi" w:hAnsiTheme="minorHAnsi" w:eastAsiaTheme="minorEastAsia" w:cstheme="minorBidi"/>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uiPriority w:val="99"/>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0"/>
    <w:rPr>
      <w:sz w:val="18"/>
      <w:szCs w:val="18"/>
    </w:rPr>
  </w:style>
  <w:style w:type="character" w:customStyle="1" w:styleId="14">
    <w:name w:val="页脚 Char"/>
    <w:basedOn w:val="8"/>
    <w:link w:val="5"/>
    <w:qFormat/>
    <w:uiPriority w:val="0"/>
    <w:rPr>
      <w:sz w:val="18"/>
      <w:szCs w:val="18"/>
    </w:rPr>
  </w:style>
  <w:style w:type="character" w:customStyle="1" w:styleId="15">
    <w:name w:val="批注框文本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hyperlink" Target="http://www.233.com/shouji233/" TargetMode="Externa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emf"/><Relationship Id="rId16" Type="http://schemas.openxmlformats.org/officeDocument/2006/relationships/oleObject" Target="embeddings/oleObject2.bin"/><Relationship Id="rId15" Type="http://schemas.openxmlformats.org/officeDocument/2006/relationships/image" Target="media/image8.emf"/><Relationship Id="rId14" Type="http://schemas.openxmlformats.org/officeDocument/2006/relationships/oleObject" Target="embeddings/oleObject1.bin"/><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http://www.examw.com/jzs1/Files/2016-9/19/919468915.jpg" TargetMode="External"/><Relationship Id="rId10" Type="http://schemas.openxmlformats.org/officeDocument/2006/relationships/image" Target="media/image5.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3D2EDA-1AC1-4691-8DBA-3DBD590641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2398</Words>
  <Characters>13672</Characters>
  <Lines>113</Lines>
  <Paragraphs>32</Paragraphs>
  <ScaleCrop>false</ScaleCrop>
  <LinksUpToDate>false</LinksUpToDate>
  <CharactersWithSpaces>16038</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2017-05-08T03:34:00Z</dcterms:created>
  <dc:creator>llllu</dc:creator>
  <cp:lastModifiedBy>wx233-editer</cp:lastModifiedBy>
  <dcterms:modified xsi:type="dcterms:W3CDTF">2017-08-16T08:16:51Z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