
<file path=[Content_Types].xml><?xml version="1.0" encoding="utf-8"?>
<Types xmlns="http://schemas.openxmlformats.org/package/2006/content-types">
  <Default Extension="xml" ContentType="application/xml"/>
  <Default Extension="png" ContentType="image/png"/>
  <Default Extension="jpeg" ContentType="image/jpe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rPr>
      </w:pPr>
    </w:p>
    <w:p>
      <w:pPr>
        <w:jc w:val="center"/>
        <w:rPr>
          <w:rFonts w:hint="eastAsia" w:ascii="微软雅黑" w:hAnsi="微软雅黑" w:eastAsia="微软雅黑" w:cs="微软雅黑"/>
          <w:b/>
          <w:bCs/>
          <w:sz w:val="28"/>
          <w:szCs w:val="28"/>
          <w:lang w:eastAsia="zh-CN"/>
        </w:rPr>
      </w:pPr>
      <w:r>
        <w:rPr>
          <w:rFonts w:hint="eastAsia" w:ascii="微软雅黑" w:hAnsi="微软雅黑" w:eastAsia="微软雅黑" w:cs="微软雅黑"/>
          <w:b/>
          <w:bCs/>
          <w:sz w:val="28"/>
          <w:szCs w:val="28"/>
          <w:lang w:eastAsia="zh-CN"/>
        </w:rPr>
        <w:t>案例分析之危险、危害因素辫识的做题套路</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想要做好危险、危害辨识的相关题目，首先要</w:t>
      </w:r>
      <w:r>
        <w:rPr>
          <w:rFonts w:hint="eastAsia" w:ascii="微软雅黑" w:hAnsi="微软雅黑" w:eastAsia="微软雅黑" w:cs="微软雅黑"/>
          <w:b/>
          <w:bCs/>
          <w:sz w:val="21"/>
          <w:szCs w:val="21"/>
          <w:lang w:eastAsia="zh-CN"/>
        </w:rPr>
        <w:t>分清三个规范标准</w:t>
      </w:r>
      <w:r>
        <w:rPr>
          <w:rFonts w:hint="eastAsia" w:ascii="微软雅黑" w:hAnsi="微软雅黑" w:eastAsia="微软雅黑" w:cs="微软雅黑"/>
          <w:b w:val="0"/>
          <w:bCs w:val="0"/>
          <w:sz w:val="21"/>
          <w:szCs w:val="21"/>
          <w:lang w:eastAsia="zh-CN"/>
        </w:rPr>
        <w:t xml:space="preserve">，然后重点掌握其中两个规范的基础知识点，最后掌握这种题的答题得分关键，即可将这种类型的题转变为我们的得分项。 </w:t>
      </w:r>
    </w:p>
    <w:p>
      <w:pPr>
        <w:jc w:val="left"/>
        <w:rPr>
          <w:rFonts w:hint="eastAsia" w:ascii="微软雅黑" w:hAnsi="微软雅黑" w:eastAsia="微软雅黑" w:cs="微软雅黑"/>
          <w:b/>
          <w:bCs/>
          <w:sz w:val="21"/>
          <w:szCs w:val="21"/>
          <w:lang w:eastAsia="zh-CN"/>
        </w:rPr>
      </w:pPr>
      <w:r>
        <w:rPr>
          <w:rFonts w:hint="eastAsia" w:ascii="微软雅黑" w:hAnsi="微软雅黑" w:eastAsia="微软雅黑" w:cs="微软雅黑"/>
          <w:b/>
          <w:bCs/>
          <w:sz w:val="21"/>
          <w:szCs w:val="21"/>
          <w:lang w:eastAsia="zh-CN"/>
        </w:rPr>
        <w:t>需要分清的三个规范标准：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《企业职工伤亡事故分类标准》（GB6441一1986)；</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《生产过程危险和有害因素分类与代码》(GB/T13861一2009)；</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《职业危害因素分类目录》。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因为同是危险、危害因素辨识，根据不同的规范标准辨识出内容是不一样的，所以看清依据的规范标准是什么，是做题关键的第一步。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三个规范中前两个是主考内容，所以需要掌握这两个规范的基础知识点（必须会背）即可。</w:t>
      </w:r>
    </w:p>
    <w:p>
      <w:pPr>
        <w:jc w:val="left"/>
        <w:rPr>
          <w:rFonts w:hint="eastAsia" w:ascii="微软雅黑" w:hAnsi="微软雅黑" w:eastAsia="微软雅黑" w:cs="微软雅黑"/>
          <w:b/>
          <w:bCs/>
          <w:sz w:val="21"/>
          <w:szCs w:val="21"/>
          <w:lang w:eastAsia="zh-CN"/>
        </w:rPr>
      </w:pPr>
      <w:r>
        <w:rPr>
          <w:rFonts w:hint="eastAsia" w:ascii="微软雅黑" w:hAnsi="微软雅黑" w:eastAsia="微软雅黑" w:cs="微软雅黑"/>
          <w:b/>
          <w:bCs/>
          <w:sz w:val="21"/>
          <w:szCs w:val="21"/>
          <w:lang w:eastAsia="zh-CN"/>
        </w:rPr>
        <w:t>《分类标准》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《企业职工伤亡事故分类标准》（GB6441一1986)中事故类别分类可分为 20 类。 </w:t>
      </w:r>
    </w:p>
    <w:p>
      <w:pPr>
        <w:jc w:val="left"/>
        <w:rPr>
          <w:rFonts w:hint="eastAsia" w:ascii="微软雅黑" w:hAnsi="微软雅黑" w:eastAsia="微软雅黑" w:cs="微软雅黑"/>
          <w:b/>
          <w:bCs/>
          <w:sz w:val="21"/>
          <w:szCs w:val="21"/>
          <w:lang w:eastAsia="zh-CN"/>
        </w:rPr>
      </w:pPr>
      <w:r>
        <w:rPr>
          <w:rFonts w:hint="eastAsia" w:ascii="微软雅黑" w:hAnsi="微软雅黑" w:eastAsia="微软雅黑" w:cs="微软雅黑"/>
          <w:b/>
          <w:bCs/>
          <w:sz w:val="21"/>
          <w:szCs w:val="21"/>
          <w:lang w:eastAsia="zh-CN"/>
        </w:rPr>
        <w:t>类别内容</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(1)物体打击(2)车辆伤害</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(3)机械伤害(4)起重伤害</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(5)触电(6)淹溺(7)灼烫</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(8)火灾(9)高处坠落</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(10)坍塌(11)冒顶、片帮</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(12)透水(13)放炮(14)火药爆炸</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(15)瓦斯爆炸(16)锅炉爆炸</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(17)容器爆炸(18)其他爆炸</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(19)中毒和窒息(20)其他伤害。 </w:t>
      </w:r>
    </w:p>
    <w:p>
      <w:pPr>
        <w:jc w:val="left"/>
        <w:rPr>
          <w:rFonts w:hint="eastAsia" w:ascii="微软雅黑" w:hAnsi="微软雅黑" w:eastAsia="微软雅黑" w:cs="微软雅黑"/>
          <w:b/>
          <w:bCs/>
          <w:sz w:val="21"/>
          <w:szCs w:val="21"/>
          <w:lang w:eastAsia="zh-CN"/>
        </w:rPr>
      </w:pPr>
      <w:r>
        <w:rPr>
          <w:rFonts w:hint="eastAsia" w:ascii="微软雅黑" w:hAnsi="微软雅黑" w:eastAsia="微软雅黑" w:cs="微软雅黑"/>
          <w:b/>
          <w:bCs/>
          <w:sz w:val="21"/>
          <w:szCs w:val="21"/>
          <w:lang w:eastAsia="zh-CN"/>
        </w:rPr>
        <w:t>记忆方式一</w:t>
      </w:r>
    </w:p>
    <w:p>
      <w:pPr>
        <w:jc w:val="center"/>
        <w:rPr>
          <w:rFonts w:hint="eastAsia" w:ascii="微软雅黑" w:hAnsi="微软雅黑" w:eastAsia="微软雅黑" w:cs="微软雅黑"/>
          <w:b w:val="0"/>
          <w:bCs w:val="0"/>
          <w:sz w:val="21"/>
          <w:szCs w:val="21"/>
          <w:lang w:eastAsia="zh-CN"/>
        </w:rPr>
      </w:pPr>
      <w:r>
        <w:drawing>
          <wp:inline distT="0" distB="0" distL="114300" distR="114300">
            <wp:extent cx="4857750" cy="4305300"/>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10"/>
                    <a:stretch>
                      <a:fillRect/>
                    </a:stretch>
                  </pic:blipFill>
                  <pic:spPr>
                    <a:xfrm>
                      <a:off x="0" y="0"/>
                      <a:ext cx="4857750" cy="4305300"/>
                    </a:xfrm>
                    <a:prstGeom prst="rect">
                      <a:avLst/>
                    </a:prstGeom>
                    <a:noFill/>
                    <a:ln w="9525">
                      <a:noFill/>
                    </a:ln>
                  </pic:spPr>
                </pic:pic>
              </a:graphicData>
            </a:graphic>
          </wp:inline>
        </w:drawing>
      </w:r>
    </w:p>
    <w:p>
      <w:pPr>
        <w:jc w:val="left"/>
        <w:rPr>
          <w:rFonts w:hint="eastAsia" w:ascii="微软雅黑" w:hAnsi="微软雅黑" w:eastAsia="微软雅黑" w:cs="微软雅黑"/>
          <w:b/>
          <w:bCs/>
          <w:sz w:val="21"/>
          <w:szCs w:val="21"/>
          <w:lang w:eastAsia="zh-CN"/>
        </w:rPr>
      </w:pPr>
      <w:r>
        <w:rPr>
          <w:rFonts w:hint="eastAsia" w:ascii="微软雅黑" w:hAnsi="微软雅黑" w:eastAsia="微软雅黑" w:cs="微软雅黑"/>
          <w:b/>
          <w:bCs/>
          <w:sz w:val="21"/>
          <w:szCs w:val="21"/>
          <w:lang w:eastAsia="zh-CN"/>
        </w:rPr>
        <w:t>记忆方式二</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一击（物体打击）致命（中毒窒息）；</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三伤（车辆、机械、起重伤害）；</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四煤矿（坍塌、冒顶、透水、放炮）；</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五常见（触电、淹溺、灼烫、火灾、高处坠落）；</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五爆炸（火药、瓦斯、锅炉、容器、其它爆炸），；</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剩下全其它（其它伤害）。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下面来看个例题，实际动手做一次。</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某火力发电厂有6台额定压力13.72 MPa、额定蒸发量670t/h的电站锅炉。为保证锅炉启动和稳定燃烧，建有2个500m3 的轻柴油储罐。为发电机冷却，建有制氢站。制氢站装有1套制氢设备和4个氢罐，氢罐的工作压力3.2 MPa、体积13.9m3 。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锅炉燃用煤粉由磨煤机加工后，经输粉管道直接进入炉膛。因生产需要，该厂决定对磨煤输粉系统进行改造。改造工程包括：拆除部分距离地面6m高的破损输粉管道，更换新管道。在施工中，部分拆除和安装工作在脚手架上进行，使用额定起重量为5t的电动葫芦。拆除旧管道时，使用乙炔进行气割。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新管道焊接前，使用角磨机进行抛光。拆除的旧管道和其他旧设备使用叉车运走。施工现场周围有正在使用的动力电缆和高温管道，还有部分未清除的煤粉。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问题：根据《企业职工伤亡事故分类标准》的规定，说明该施工现场可能发生的事故类型及其引发因素。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第一步：做题前先看清问题中问地是《分类标准》这部规范标准。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第二步：审清题目后，大致看一下案例材料，基本上可以把煤矿四类和中毒窒息类型排除掉，开始把剩余的所有类型项默写到草稿纸上。</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第三步：对照罗列的类型项，寻找案例材料中的关键词（已标红），把这些关键词写在分属的罗列项后面（写的乱没关系，自己能看懂就行）。</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第四步：根据草稿纸上的内容，理清顺序，规范的抄写在试卷上，如下。</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(1)锅炉爆炸：锅炉；(1分)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(2)其他爆炸：煤粉。(1分）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(3)容器爆炸：氧气瓶(罐)、乙炔气瓶(罐)；(1分)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(4)火 灾：焊渣、煤粉及其他可燃物；(1分)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(5)起重伤害：电动葫芦、倒链；(1分)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(6)车辆伤害：叉车；(1分)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(7)高空坠落：高空作业；(1分)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(8)触电：电焊、角磨机、运行中的电缆；(1分)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(9)机械伤害：角磨机；(1分)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(10)物体打击：高空落物；(1分)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(11)灼 烫：高温管道、电焊、气割；(1分)</w:t>
      </w:r>
    </w:p>
    <w:p>
      <w:pPr>
        <w:jc w:val="left"/>
        <w:rPr>
          <w:rFonts w:hint="eastAsia" w:ascii="微软雅黑" w:hAnsi="微软雅黑" w:eastAsia="微软雅黑" w:cs="微软雅黑"/>
          <w:b/>
          <w:bCs/>
          <w:sz w:val="21"/>
          <w:szCs w:val="21"/>
          <w:lang w:eastAsia="zh-CN"/>
        </w:rPr>
      </w:pPr>
      <w:r>
        <w:rPr>
          <w:rFonts w:hint="eastAsia" w:ascii="微软雅黑" w:hAnsi="微软雅黑" w:eastAsia="微软雅黑" w:cs="微软雅黑"/>
          <w:b/>
          <w:bCs/>
          <w:sz w:val="21"/>
          <w:szCs w:val="21"/>
          <w:lang w:eastAsia="zh-CN"/>
        </w:rPr>
        <w:t>《分类与代码》</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《生产过程危险和有害因素分类与代码》(GB/T13861一2009)中主要分为人的因素和物的因素两大类。 </w:t>
      </w:r>
    </w:p>
    <w:p>
      <w:pPr>
        <w:jc w:val="left"/>
        <w:rPr>
          <w:rFonts w:hint="eastAsia" w:ascii="微软雅黑" w:hAnsi="微软雅黑" w:eastAsia="微软雅黑" w:cs="微软雅黑"/>
          <w:b/>
          <w:bCs/>
          <w:sz w:val="21"/>
          <w:szCs w:val="21"/>
          <w:lang w:eastAsia="zh-CN"/>
        </w:rPr>
      </w:pPr>
      <w:r>
        <w:rPr>
          <w:rFonts w:hint="eastAsia" w:ascii="微软雅黑" w:hAnsi="微软雅黑" w:eastAsia="微软雅黑" w:cs="微软雅黑"/>
          <w:b/>
          <w:bCs/>
          <w:sz w:val="21"/>
          <w:szCs w:val="21"/>
          <w:lang w:eastAsia="zh-CN"/>
        </w:rPr>
        <w:t>物的因素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 物理性危险、有害因素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(1)设备、设施缺陷 (2)防护缺陷</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(3)电 (4)噪声 (5)振动</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(6)电磁辐射 (7)运动物 (8)明火</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(9)能造成灼伤的高温物质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(10)能造成冻伤的低温物质</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(11)粉尘与气溶胶</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(12)作业环境不良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(13)信号缺陷 (14)标志缺陷</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(15)其他物理性危险和有害因素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2)化学性危险、有害因素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(1)易燃易爆性物质</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(2)自燃性物质</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(3)有毒物质</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(4)腐蚀性物质。</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(5)其他化学性危险、有害因素。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3) 生物性危险、有害因素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(1)致病微生物</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(2)传染病媒介物</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(3)致害动物</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(4)致害植物</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(5)其他生物性危险、有害因素。 </w:t>
      </w:r>
    </w:p>
    <w:p>
      <w:pPr>
        <w:jc w:val="left"/>
        <w:rPr>
          <w:rFonts w:hint="eastAsia" w:ascii="微软雅黑" w:hAnsi="微软雅黑" w:eastAsia="微软雅黑" w:cs="微软雅黑"/>
          <w:b/>
          <w:bCs/>
          <w:sz w:val="21"/>
          <w:szCs w:val="21"/>
          <w:lang w:eastAsia="zh-CN"/>
        </w:rPr>
      </w:pPr>
      <w:r>
        <w:rPr>
          <w:rFonts w:hint="eastAsia" w:ascii="微软雅黑" w:hAnsi="微软雅黑" w:eastAsia="微软雅黑" w:cs="微软雅黑"/>
          <w:b/>
          <w:bCs/>
          <w:sz w:val="21"/>
          <w:szCs w:val="21"/>
          <w:lang w:eastAsia="zh-CN"/>
        </w:rPr>
        <w:t>人的因素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1)心理、生理性危险、有害因素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(1)负荷超限(2)健康状况异常</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(3)从事禁忌作业(4)心理异常</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(5)辨识功能缺陷</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(6)其他心理、生理性危险、有害因素。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2)行为性危险、有害因素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(1)指挥错误(2)操作失误</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(3)监护失误(4)其他错误</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(5)其他行为性危险和有害因素。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同样按照上面说的方法，实际动手做个例题。</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某企业有玻璃器皿生产车间烧制玻璃溶液的主要装置是玻璃熔化池炉。烧制时，从炉顶部侧面人工加入石英砂(二氧化硅)、纯碱(氢氧化钠)、三氧化二砷等原料，用重油和煤气作燃料烧至1300-1700℃，从炉底侧面排出玻璃熔液。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玻璃器皿的生产车间厂房为钢筋混凝土框架结构，房顶是水泥预制板。玻璃器皿的生产车间厂房为钢筋混凝土框架结构，房顶是水泥预制板。厂房内有46t玻璃熔化池炉1座，炉高6m，炉顶距厂房钢制房梁1.7m，炉底高出地面1.5m。煤气调压站距厂房直线距离15m，重油储罐距厂房直线距离15m。房内有员工20人正在工作。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由于熔化池炉超期服役，造成炉顶内拱耐火砖损坏，烈焰冲出炉顶近1m，炉两侧的耐火砖也已变形，随时有发生溃炉的可能。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问题：根据《生产过程危险和有害因素分类与代码》(GB/T13861-2009)的规定，指出该车间存在物的方面危险有害因素。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第一步：做题先看清是《分类与代码》这部规范标准；然后是“物的方面”危险有害因素。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第二步：审清题目后，大致看一下案例材料，基本上可以把物理、化学、生物因素中的生物因素排除掉，开始把物理、化学所有危险有害因素项默写到草稿纸上。后面按照上个例题同样的步骤继续做题。 </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物理方面危险有害因素：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(1)设备设施缺陷：熔化池炉老化(1分)，炉顶部损坏(1分)，两侧耐火砖变形(1分)，炉顶离房顶钢梁1.7m(太近)(1分)。(最高2分)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(2)防护缺陷：熔化池炉距煤气调压站、重油罐距离太近。(1分)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(3)粉尘：(石英砂或二氧化硅);(1分)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(4)高温：(或热辐射);(1分)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化学方面危险有害因素：</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(1)有毒有害化学品(纯碱或氢氧化钠、三氧化二砷);(1分)</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(2)易燃易爆性物质(重油和煤气);(1分)</w:t>
      </w:r>
    </w:p>
    <w:p>
      <w:pPr>
        <w:jc w:val="left"/>
        <w:rPr>
          <w:rFonts w:hint="eastAsia" w:ascii="微软雅黑" w:hAnsi="微软雅黑" w:eastAsia="微软雅黑" w:cs="微软雅黑"/>
          <w:b/>
          <w:bCs/>
          <w:sz w:val="21"/>
          <w:szCs w:val="21"/>
          <w:lang w:eastAsia="zh-CN"/>
        </w:rPr>
      </w:pPr>
      <w:r>
        <w:rPr>
          <w:rFonts w:hint="eastAsia" w:ascii="微软雅黑" w:hAnsi="微软雅黑" w:eastAsia="微软雅黑" w:cs="微软雅黑"/>
          <w:b/>
          <w:bCs/>
          <w:sz w:val="21"/>
          <w:szCs w:val="21"/>
          <w:lang w:eastAsia="zh-CN"/>
        </w:rPr>
        <w:t>答题得分关键</w:t>
      </w:r>
    </w:p>
    <w:p>
      <w:pPr>
        <w:jc w:val="left"/>
        <w:rPr>
          <w:rFonts w:hint="eastAsia" w:ascii="微软雅黑" w:hAnsi="微软雅黑" w:eastAsia="微软雅黑" w:cs="微软雅黑"/>
          <w:b w:val="0"/>
          <w:bCs w:val="0"/>
          <w:sz w:val="21"/>
          <w:szCs w:val="21"/>
          <w:lang w:eastAsia="zh-CN"/>
        </w:rPr>
      </w:pPr>
      <w:r>
        <w:rPr>
          <w:rFonts w:hint="eastAsia" w:ascii="微软雅黑" w:hAnsi="微软雅黑" w:eastAsia="微软雅黑" w:cs="微软雅黑"/>
          <w:b w:val="0"/>
          <w:bCs w:val="0"/>
          <w:sz w:val="21"/>
          <w:szCs w:val="21"/>
          <w:lang w:eastAsia="zh-CN"/>
        </w:rPr>
        <w:t xml:space="preserve">改卷老师在短时间内需要批改大量的卷子，只会看得分关键点，其余写再多没用。 </w:t>
      </w:r>
    </w:p>
    <w:p>
      <w:pPr>
        <w:jc w:val="left"/>
        <w:rPr>
          <w:rFonts w:hint="eastAsia" w:ascii="微软雅黑" w:hAnsi="微软雅黑" w:eastAsia="微软雅黑" w:cs="微软雅黑"/>
          <w:b/>
          <w:bCs/>
          <w:sz w:val="21"/>
          <w:szCs w:val="21"/>
          <w:lang w:eastAsia="zh-CN"/>
        </w:rPr>
      </w:pPr>
      <w:r>
        <w:rPr>
          <w:rFonts w:hint="eastAsia" w:ascii="微软雅黑" w:hAnsi="微软雅黑" w:eastAsia="微软雅黑" w:cs="微软雅黑"/>
          <w:b w:val="0"/>
          <w:bCs w:val="0"/>
          <w:sz w:val="21"/>
          <w:szCs w:val="21"/>
          <w:lang w:eastAsia="zh-CN"/>
        </w:rPr>
        <w:t>辨识类题目的答题模式就是：事故类型+引发关键因素（说明依据）；其余废话不要写，不得分且浪费其它题的答题时间。</w:t>
      </w:r>
      <w:bookmarkStart w:id="0" w:name="_GoBack"/>
      <w:bookmarkEnd w:id="0"/>
    </w:p>
    <w:p>
      <w:pPr>
        <w:jc w:val="left"/>
        <w:rPr>
          <w:rFonts w:hint="eastAsia" w:ascii="微软雅黑" w:hAnsi="微软雅黑" w:eastAsia="微软雅黑" w:cs="微软雅黑"/>
          <w:b/>
          <w:bCs/>
          <w:sz w:val="21"/>
          <w:szCs w:val="21"/>
          <w:lang w:eastAsia="zh-CN"/>
        </w:rPr>
      </w:pPr>
    </w:p>
    <w:sectPr>
      <w:headerReference r:id="rId5" w:type="first"/>
      <w:footerReference r:id="rId8" w:type="first"/>
      <w:headerReference r:id="rId3" w:type="default"/>
      <w:footerReference r:id="rId6" w:type="default"/>
      <w:headerReference r:id="rId4" w:type="even"/>
      <w:footerReference r:id="rId7" w:type="even"/>
      <w:pgSz w:w="11906" w:h="16838"/>
      <w:pgMar w:top="720" w:right="720" w:bottom="720" w:left="720" w:header="340" w:footer="0"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10"/>
      <w:tblW w:w="6857" w:type="dxa"/>
      <w:jc w:val="center"/>
      <w:tblInd w:w="928"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266"/>
      <w:gridCol w:w="459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28" w:hRule="atLeast"/>
        <w:jc w:val="center"/>
      </w:trPr>
      <w:tc>
        <w:tcPr>
          <w:tcW w:w="2266" w:type="dxa"/>
        </w:tcPr>
        <w:p>
          <w:pPr>
            <w:pStyle w:val="4"/>
            <w:pBdr>
              <w:bottom w:val="none" w:color="auto" w:sz="0" w:space="0"/>
            </w:pBdr>
            <w:jc w:val="right"/>
          </w:pPr>
          <w:r>
            <w:drawing>
              <wp:inline distT="0" distB="0" distL="0" distR="0">
                <wp:extent cx="676275" cy="676275"/>
                <wp:effectExtent l="0" t="0" r="9525" b="9525"/>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676275" cy="676275"/>
                        </a:xfrm>
                        <a:prstGeom prst="rect">
                          <a:avLst/>
                        </a:prstGeom>
                      </pic:spPr>
                    </pic:pic>
                  </a:graphicData>
                </a:graphic>
              </wp:inline>
            </w:drawing>
          </w:r>
        </w:p>
      </w:tc>
      <w:tc>
        <w:tcPr>
          <w:tcW w:w="4591" w:type="dxa"/>
          <w:vAlign w:val="center"/>
        </w:tcPr>
        <w:p>
          <w:pPr>
            <w:pStyle w:val="4"/>
            <w:pBdr>
              <w:bottom w:val="none" w:color="auto" w:sz="0" w:space="0"/>
            </w:pBdr>
            <w:rPr>
              <w:rFonts w:hint="eastAsia" w:ascii="微软雅黑" w:hAnsi="微软雅黑" w:eastAsia="微软雅黑"/>
              <w:sz w:val="28"/>
              <w:szCs w:val="28"/>
            </w:rPr>
          </w:pPr>
          <w:r>
            <w:rPr>
              <w:rFonts w:hint="eastAsia" w:ascii="微软雅黑" w:hAnsi="微软雅黑" w:eastAsia="微软雅黑"/>
              <w:sz w:val="28"/>
              <w:szCs w:val="28"/>
            </w:rPr>
            <w:t>扫码下载233网校题库</w:t>
          </w:r>
        </w:p>
        <w:p>
          <w:pPr>
            <w:pStyle w:val="4"/>
            <w:pBdr>
              <w:bottom w:val="none" w:color="auto" w:sz="0" w:space="0"/>
            </w:pBdr>
          </w:pPr>
          <w:r>
            <w:rPr>
              <w:rFonts w:ascii="微软雅黑" w:hAnsi="微软雅黑" w:eastAsia="微软雅黑"/>
              <w:sz w:val="28"/>
              <w:szCs w:val="28"/>
            </w:rPr>
            <w:t>一刷就过，千万人掌上题库！</w:t>
          </w:r>
        </w:p>
      </w:tc>
    </w:tr>
  </w:tbl>
  <w:p>
    <w:pPr>
      <w:pStyle w:val="3"/>
      <w:tabs>
        <w:tab w:val="left" w:pos="2700"/>
        <w:tab w:val="clear" w:pos="4153"/>
        <w:tab w:val="clear" w:pos="83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jc w:val="left"/>
    </w:pPr>
  </w:p>
  <w:tbl>
    <w:tblPr>
      <w:tblStyle w:val="10"/>
      <w:tblW w:w="9835"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826"/>
      <w:gridCol w:w="700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558" w:hRule="atLeast"/>
        <w:jc w:val="center"/>
      </w:trPr>
      <w:tc>
        <w:tcPr>
          <w:tcW w:w="2826" w:type="dxa"/>
        </w:tcPr>
        <w:p>
          <w:pPr>
            <w:pStyle w:val="4"/>
            <w:pBdr>
              <w:bottom w:val="none" w:color="auto" w:sz="0" w:space="0"/>
            </w:pBdr>
            <w:jc w:val="left"/>
          </w:pPr>
        </w:p>
        <w:p>
          <w:pPr>
            <w:pStyle w:val="4"/>
            <w:pBdr>
              <w:bottom w:val="none" w:color="auto" w:sz="0" w:space="0"/>
            </w:pBdr>
            <w:jc w:val="left"/>
          </w:pPr>
          <w:r>
            <w:pict>
              <v:shape id="WordPictureWatermark1032578455" o:spid="_x0000_s4098" o:spt="75" type="#_x0000_t75" style="position:absolute;left:0pt;height:769.15pt;width:461.5pt;mso-position-horizontal:center;mso-position-horizontal-relative:margin;mso-position-vertical:center;mso-position-vertical-relative:margin;z-index:-251656192;mso-width-relative:page;mso-height-relative:page;" filled="f" o:preferrelative="t" stroked="f" coordsize="21600,21600" o:allowincell="f">
                <v:path/>
                <v:fill on="f" focussize="0,0"/>
                <v:stroke on="f" joinstyle="miter"/>
                <v:imagedata r:id="rId1" gain="19661f" blacklevel="22938f" o:title="水印排版"/>
                <o:lock v:ext="edit" aspectratio="t"/>
              </v:shape>
            </w:pict>
          </w:r>
          <w:r>
            <w:drawing>
              <wp:inline distT="0" distB="0" distL="114300" distR="114300">
                <wp:extent cx="1656080" cy="445135"/>
                <wp:effectExtent l="0" t="0" r="1270" b="12065"/>
                <wp:docPr id="5"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3"/>
                        <pic:cNvPicPr>
                          <a:picLocks noChangeAspect="1"/>
                        </pic:cNvPicPr>
                      </pic:nvPicPr>
                      <pic:blipFill>
                        <a:blip r:embed="rId2"/>
                        <a:stretch>
                          <a:fillRect/>
                        </a:stretch>
                      </pic:blipFill>
                      <pic:spPr>
                        <a:xfrm>
                          <a:off x="0" y="0"/>
                          <a:ext cx="1656080" cy="445135"/>
                        </a:xfrm>
                        <a:prstGeom prst="rect">
                          <a:avLst/>
                        </a:prstGeom>
                        <a:noFill/>
                        <a:ln w="9525">
                          <a:noFill/>
                        </a:ln>
                      </pic:spPr>
                    </pic:pic>
                  </a:graphicData>
                </a:graphic>
              </wp:inline>
            </w:drawing>
          </w:r>
        </w:p>
      </w:tc>
      <w:tc>
        <w:tcPr>
          <w:tcW w:w="7009" w:type="dxa"/>
        </w:tcPr>
        <w:p>
          <w:pPr>
            <w:pStyle w:val="4"/>
            <w:pBdr>
              <w:bottom w:val="none" w:color="auto" w:sz="0" w:space="0"/>
            </w:pBdr>
            <w:jc w:val="left"/>
            <w:rPr>
              <w:rFonts w:hint="eastAsia" w:ascii="微软雅黑" w:hAnsi="微软雅黑" w:eastAsia="微软雅黑"/>
              <w:sz w:val="21"/>
              <w:szCs w:val="21"/>
            </w:rPr>
          </w:pPr>
          <w:r>
            <w:rPr>
              <w:rFonts w:hint="eastAsia" w:ascii="微软雅黑" w:hAnsi="微软雅黑" w:eastAsia="微软雅黑"/>
              <w:sz w:val="21"/>
              <w:szCs w:val="21"/>
            </w:rPr>
            <w:t>233网校</w:t>
          </w:r>
          <w:r>
            <w:rPr>
              <w:rFonts w:hint="eastAsia" w:ascii="微软雅黑" w:hAnsi="微软雅黑" w:eastAsia="微软雅黑"/>
              <w:sz w:val="21"/>
              <w:szCs w:val="21"/>
              <w:lang w:eastAsia="zh-CN"/>
            </w:rPr>
            <w:t>安全工程师考试网</w:t>
          </w:r>
          <w:r>
            <w:rPr>
              <w:rFonts w:hint="eastAsia" w:ascii="微软雅黑" w:hAnsi="微软雅黑" w:eastAsia="微软雅黑"/>
              <w:sz w:val="21"/>
              <w:szCs w:val="21"/>
            </w:rPr>
            <w:t>：www.233.com/</w:t>
          </w:r>
          <w:r>
            <w:rPr>
              <w:rFonts w:hint="eastAsia" w:ascii="微软雅黑" w:hAnsi="微软雅黑" w:eastAsia="微软雅黑"/>
              <w:sz w:val="21"/>
              <w:szCs w:val="21"/>
              <w:lang w:val="en-US" w:eastAsia="zh-CN"/>
            </w:rPr>
            <w:t>aq</w:t>
          </w:r>
          <w:r>
            <w:rPr>
              <w:rFonts w:hint="eastAsia" w:ascii="微软雅黑" w:hAnsi="微软雅黑" w:eastAsia="微软雅黑"/>
              <w:sz w:val="21"/>
              <w:szCs w:val="21"/>
            </w:rPr>
            <w:t>/</w:t>
          </w:r>
        </w:p>
        <w:p>
          <w:pPr>
            <w:pStyle w:val="4"/>
            <w:pBdr>
              <w:bottom w:val="none" w:color="auto" w:sz="0" w:space="0"/>
            </w:pBdr>
            <w:jc w:val="left"/>
            <w:rPr>
              <w:rFonts w:hint="eastAsia" w:ascii="微软雅黑" w:hAnsi="微软雅黑" w:eastAsia="微软雅黑"/>
              <w:sz w:val="21"/>
              <w:szCs w:val="21"/>
            </w:rPr>
          </w:pPr>
          <w:r>
            <w:rPr>
              <w:rFonts w:hint="eastAsia" w:ascii="微软雅黑" w:hAnsi="微软雅黑" w:eastAsia="微软雅黑"/>
              <w:sz w:val="21"/>
              <w:szCs w:val="21"/>
              <w:lang w:eastAsia="zh-CN"/>
            </w:rPr>
            <w:t>安全工程师</w:t>
          </w:r>
          <w:r>
            <w:rPr>
              <w:rFonts w:hint="eastAsia" w:ascii="微软雅黑" w:hAnsi="微软雅黑" w:eastAsia="微软雅黑"/>
              <w:sz w:val="21"/>
              <w:szCs w:val="21"/>
            </w:rPr>
            <w:t>网校听课：wx.233.com/</w:t>
          </w:r>
          <w:r>
            <w:rPr>
              <w:rFonts w:hint="eastAsia" w:ascii="微软雅黑" w:hAnsi="微软雅黑" w:eastAsia="微软雅黑"/>
              <w:sz w:val="21"/>
              <w:szCs w:val="21"/>
              <w:lang w:val="en-US" w:eastAsia="zh-CN"/>
            </w:rPr>
            <w:t>aq</w:t>
          </w:r>
          <w:r>
            <w:rPr>
              <w:rFonts w:hint="eastAsia" w:ascii="微软雅黑" w:hAnsi="微软雅黑" w:eastAsia="微软雅黑"/>
              <w:sz w:val="21"/>
              <w:szCs w:val="21"/>
            </w:rPr>
            <w:t>/</w:t>
          </w:r>
        </w:p>
        <w:p>
          <w:pPr>
            <w:pStyle w:val="4"/>
            <w:pBdr>
              <w:bottom w:val="none" w:color="auto" w:sz="0" w:space="0"/>
            </w:pBdr>
            <w:jc w:val="left"/>
            <w:rPr>
              <w:rFonts w:ascii="微软雅黑" w:hAnsi="微软雅黑" w:eastAsia="微软雅黑"/>
            </w:rPr>
          </w:pPr>
          <w:r>
            <w:rPr>
              <w:rFonts w:hint="eastAsia" w:ascii="微软雅黑" w:hAnsi="微软雅黑" w:eastAsia="微软雅黑"/>
              <w:sz w:val="21"/>
              <w:szCs w:val="21"/>
              <w:lang w:eastAsia="zh-CN"/>
            </w:rPr>
            <w:t>加入</w:t>
          </w:r>
          <w:r>
            <w:rPr>
              <w:rFonts w:hint="eastAsia" w:ascii="微软雅黑" w:hAnsi="微软雅黑" w:eastAsia="微软雅黑"/>
              <w:sz w:val="21"/>
              <w:szCs w:val="21"/>
              <w:lang w:val="en-US" w:eastAsia="zh-CN"/>
            </w:rPr>
            <w:t>QQ</w:t>
          </w:r>
          <w:r>
            <w:rPr>
              <w:rFonts w:hint="eastAsia" w:ascii="微软雅黑" w:hAnsi="微软雅黑" w:eastAsia="微软雅黑"/>
              <w:sz w:val="21"/>
              <w:szCs w:val="21"/>
            </w:rPr>
            <w:t>学习群：313396291</w:t>
          </w:r>
        </w:p>
      </w:tc>
    </w:tr>
  </w:tbl>
  <w:p>
    <w:pPr>
      <w:pStyle w:val="4"/>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WordPictureWatermark1032578454" o:spid="_x0000_s4099" o:spt="75" type="#_x0000_t75" style="position:absolute;left:0pt;height:769.15pt;width:461.5pt;mso-position-horizontal:center;mso-position-horizontal-relative:margin;mso-position-vertical:center;mso-position-vertical-relative:margin;z-index:-251657216;mso-width-relative:page;mso-height-relative:page;" filled="f" o:preferrelative="t" stroked="f" coordsize="21600,21600" o:allowincell="f">
          <v:path/>
          <v:fill on="f" focussize="0,0"/>
          <v:stroke on="f" joinstyle="miter"/>
          <v:imagedata r:id="rId1" gain="19661f" blacklevel="22938f" o:title="水印排版"/>
          <o:lock v:ext="edit" aspectratio="t"/>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pict>
        <v:shape id="WordPictureWatermark1032578453" o:spid="_x0000_s4097" o:spt="75" type="#_x0000_t75" style="position:absolute;left:0pt;height:769.15pt;width:461.5pt;mso-position-horizontal:center;mso-position-horizontal-relative:margin;mso-position-vertical:center;mso-position-vertical-relative:margin;z-index:-251658240;mso-width-relative:page;mso-height-relative:page;" filled="f" o:preferrelative="t" stroked="f" coordsize="21600,21600" o:allowincell="f">
          <v:path/>
          <v:fill on="f" focussize="0,0"/>
          <v:stroke on="f" joinstyle="miter"/>
          <v:imagedata r:id="rId1" gain="19661f" blacklevel="22938f" o:title="水印排版"/>
          <o:lock v:ext="edit" aspectratio="t"/>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176C"/>
    <w:rsid w:val="000F27C9"/>
    <w:rsid w:val="002E176C"/>
    <w:rsid w:val="00611655"/>
    <w:rsid w:val="00677F79"/>
    <w:rsid w:val="00690A0D"/>
    <w:rsid w:val="00776125"/>
    <w:rsid w:val="007D1165"/>
    <w:rsid w:val="00B356CB"/>
    <w:rsid w:val="00B96415"/>
    <w:rsid w:val="00C41609"/>
    <w:rsid w:val="00F56076"/>
    <w:rsid w:val="02D66851"/>
    <w:rsid w:val="0BE94E15"/>
    <w:rsid w:val="0E3D40D7"/>
    <w:rsid w:val="1EB8352D"/>
    <w:rsid w:val="1FDF25E7"/>
    <w:rsid w:val="22853731"/>
    <w:rsid w:val="380C536E"/>
    <w:rsid w:val="3AD62386"/>
    <w:rsid w:val="3FEF71BD"/>
    <w:rsid w:val="44B70F26"/>
    <w:rsid w:val="4DDF2B17"/>
    <w:rsid w:val="535D7F99"/>
    <w:rsid w:val="628F40DF"/>
    <w:rsid w:val="64632AAB"/>
    <w:rsid w:val="6BBD1817"/>
    <w:rsid w:val="6F4B24BC"/>
    <w:rsid w:val="705C6B3E"/>
    <w:rsid w:val="72995C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unhideWhenUsed/>
    <w:qFormat/>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13"/>
    <w:unhideWhenUsed/>
    <w:qFormat/>
    <w:uiPriority w:val="99"/>
    <w:rPr>
      <w:sz w:val="18"/>
      <w:szCs w:val="18"/>
    </w:r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1"/>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semiHidden/>
    <w:unhideWhenUsed/>
    <w:qFormat/>
    <w:uiPriority w:val="99"/>
    <w:pPr>
      <w:spacing w:before="0" w:beforeAutospacing="1" w:after="0" w:afterAutospacing="1"/>
      <w:ind w:left="0" w:right="0"/>
      <w:jc w:val="left"/>
    </w:pPr>
    <w:rPr>
      <w:kern w:val="0"/>
      <w:sz w:val="24"/>
      <w:lang w:val="en-US" w:eastAsia="zh-CN" w:bidi="ar"/>
    </w:rPr>
  </w:style>
  <w:style w:type="character" w:styleId="7">
    <w:name w:val="Strong"/>
    <w:basedOn w:val="6"/>
    <w:qFormat/>
    <w:uiPriority w:val="22"/>
    <w:rPr>
      <w:b/>
    </w:rPr>
  </w:style>
  <w:style w:type="character" w:styleId="8">
    <w:name w:val="Hyperlink"/>
    <w:basedOn w:val="6"/>
    <w:unhideWhenUsed/>
    <w:qFormat/>
    <w:uiPriority w:val="99"/>
    <w:rPr>
      <w:color w:val="0000FF" w:themeColor="hyperlink"/>
      <w:u w:val="single"/>
      <w14:textFill>
        <w14:solidFill>
          <w14:schemeClr w14:val="hlink"/>
        </w14:solidFill>
      </w14:textFill>
    </w:rPr>
  </w:style>
  <w:style w:type="table" w:styleId="10">
    <w:name w:val="Table Grid"/>
    <w:basedOn w:val="9"/>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11">
    <w:name w:val="页眉 Char"/>
    <w:basedOn w:val="6"/>
    <w:link w:val="4"/>
    <w:qFormat/>
    <w:uiPriority w:val="99"/>
    <w:rPr>
      <w:sz w:val="18"/>
      <w:szCs w:val="18"/>
    </w:rPr>
  </w:style>
  <w:style w:type="character" w:customStyle="1" w:styleId="12">
    <w:name w:val="页脚 Char"/>
    <w:basedOn w:val="6"/>
    <w:link w:val="3"/>
    <w:qFormat/>
    <w:uiPriority w:val="99"/>
    <w:rPr>
      <w:sz w:val="18"/>
      <w:szCs w:val="18"/>
    </w:rPr>
  </w:style>
  <w:style w:type="character" w:customStyle="1" w:styleId="13">
    <w:name w:val="批注框文本 Char"/>
    <w:basedOn w:val="6"/>
    <w:link w:val="2"/>
    <w:semiHidden/>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customXml" Target="../customXml/item1.xml"/><Relationship Id="rId10" Type="http://schemas.openxmlformats.org/officeDocument/2006/relationships/image" Target="media/image4.png"/><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4098"/>
    <customShpInfo spid="_x0000_s4099"/>
    <customShpInfo spid="_x0000_s409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333D2EDA-1AC1-4691-8DBA-3DBD590641FC}">
  <ds:schemaRefs/>
</ds:datastoreItem>
</file>

<file path=docProps/app.xml><?xml version="1.0" encoding="utf-8"?>
<Properties xmlns="http://schemas.openxmlformats.org/officeDocument/2006/extended-properties" xmlns:vt="http://schemas.openxmlformats.org/officeDocument/2006/docPropsVTypes">
  <Template>Normal</Template>
  <Pages>16</Pages>
  <Words>7915</Words>
  <Characters>8926</Characters>
  <Lines>1</Lines>
  <Paragraphs>1</Paragraphs>
  <TotalTime>17</TotalTime>
  <ScaleCrop>false</ScaleCrop>
  <LinksUpToDate>false</LinksUpToDate>
  <CharactersWithSpaces>9159</CharactersWithSpaces>
  <Application>WPS Office_11.1.0.7811_F1E327BC-269C-435d-A152-05C5408002CA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2017-02-20T08:54:00Z</dcterms:created>
  <dc:creator>llllu</dc:creator>
  <cp:lastModifiedBy>YYT.</cp:lastModifiedBy>
  <dcterms:modified xsi:type="dcterms:W3CDTF">2018-09-13T03:22:42Z</dcterms:modified>
  <cp:revision>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2052-11.1.0.7811</vt:lpwstr>
  </property>
</Properties>
</file>