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lang w:eastAsia="zh-CN"/>
        </w:rPr>
        <w:t>【安全生产技术】</w:t>
      </w:r>
      <w:r>
        <w:rPr>
          <w:rFonts w:hint="eastAsia" w:ascii="微软雅黑" w:hAnsi="微软雅黑" w:eastAsia="微软雅黑" w:cs="微软雅黑"/>
          <w:b/>
          <w:bCs/>
          <w:sz w:val="32"/>
          <w:szCs w:val="32"/>
        </w:rPr>
        <w:t>“职业危害”六组数字汇总</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2018年安全工程师考试将于10月17日、28日开考，你准备好全力以赴应考了吗？</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在《安全生产技术》科目第五章“职业危害控制”需要记得知识点比较多、比较杂，下面是根据历年考试的高频考点精简、梳理出来了六组内容，供大家更好地记忆！</w:t>
      </w:r>
    </w:p>
    <w:p>
      <w:pPr>
        <w:jc w:val="lef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第一组</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1.高温防治一个优先原则</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应优先采用先进的生产工艺、技术和原材料，工艺流程的设计消除高温职业危害。 </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2.毒物控制措施的一个首选办法</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首先采用无毒、低毒代替有毒、高毒。</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bCs/>
          <w:sz w:val="24"/>
          <w:szCs w:val="24"/>
          <w:lang w:val="en-US" w:eastAsia="zh-CN"/>
        </w:rPr>
        <w:t>第二组</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1.噪声防治两个优先原则</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1)应优先采用行之有效的新技术、新材料、新工艺、新方法控制噪声。</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应优先从声源上进行控制，使噪声作业劳动者接触噪声声级符合相关标准的要求。 </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2.毒物控制措施的两个根本途径</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1)生产过程密闭化；</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2)生产过程自动化。</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bCs/>
          <w:sz w:val="24"/>
          <w:szCs w:val="24"/>
          <w:lang w:val="en-US" w:eastAsia="zh-CN"/>
        </w:rPr>
        <w:t>第三组</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1.毒物进入人体的三个途径</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1)经呼吸道；</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2)经皮肤；</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3)消化道。 </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2.毒物控制三类措施措施</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1)密闭、通风排毒系统：该系统由密闭罩、通风管、净化装置和通风机构成；</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2)局部排气罩：分密闭罩、开口罩、通风橱3种；</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3)排出气体的净化。 </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3.生产性粉尘的三类性质</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1)无机性粉尘：如矿物性粉尘、铁等化合物；人工无机性粉尘，如水泥、金刚砂等。</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2)有机性粉尘：有机性粉尘包括植物性粉尘，如棉、麻、面粉、木材；动物性粉尘，如皮毛粉尘；人工合成有机粉尘，如有机染料、农药、炸药和人造纤维等。</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3)混合性粉尘（最常见）：混合性粉尘是上述各种粉尘的混合存在，一般包括两种以上的粉尘。 </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4.噪声的三种分类</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1)空气动力噪声：气体压力变化引起气体扰动所致。如，各种风机、空气压缩机、风动工具、喷气发动机和汽轮机等，由于压力脉冲和气体排放发出的噪声；</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2)机械性噪声：机械撞击、摩擦或质量不平衡旋转等机械力作用下引起固体部件振动所产生的噪声。例如，各种车床、电锯、电刨、球磨机、砂轮机和织布机等发出的噪声；</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3)电磁性噪声：磁场脉冲，磁致伸缩引起电气部件振动所致。如电磁式振动台和振荡器、大型电动机、发电机和变压器等产生的噪声。 </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5.控制噪声的三项措施</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1)消除或降低噪声、振动源：如：铆接改为焊接、锤击成型改为液压成型等。为防止振动使用隔绝物质，如用橡皮、软木和砂石等隔绝噪声；</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2)消除或减少噪声、振动的传播：如：吸声、隔声、隔振、阻尼。</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3)加强个人防护和健康监护。</w:t>
      </w:r>
    </w:p>
    <w:p>
      <w:pPr>
        <w:jc w:val="lef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第四组</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1.粉尘的四个控制措施</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1)改革工艺过程：机械化、密闭化、自动化。</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2)湿式作业：防尘效果可靠，易于管理，投资较低。</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3)密闭、抽风、除尘：密闭设备、吸尘罩、通风管、除尘器。</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4)个体防护和个人卫生：佩戴防尘护具。 </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2.振动的四个控制措施</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1)控制振动源：应在设计、制造生产工具和机械时采用减振措施，使振动降低到对人体无害水平：</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2)改革工艺，采用减振和隔振等措施：如采用焊接等新工艺代替铆接工艺；采用水力清砂代替风铲清砂；工具的金属部件采用塑料或橡胶材料，减少撞击振动；</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3)限制作业时间和振动强度；</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4)改善作业环境，加强个体防护及健康监护。 </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3.非电离辐射的四种分类</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1)射频辐射：又称为无线电波，量子能量很小；可分成高频电磁场、超高频电磁场和微波3个波段。</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2)红外线辐射：加热金属、熔融玻璃及强发光体等可成为红外线辐射源；</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3)紫外线辐射：物体温度达1200℃以上的辐射电磁波谱中即可出现紫外线；</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4)激光：不是天然存在的，而是用人工在特定条件的激发光。</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bCs/>
          <w:sz w:val="24"/>
          <w:szCs w:val="24"/>
          <w:lang w:val="en-US" w:eastAsia="zh-CN"/>
        </w:rPr>
        <w:t>第五组</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1.高温防治的五个措施</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1)减少热和水蒸气释放；</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2)屏蔽热辐射源；</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3)加强通风；</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4)减少劳动时间；</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5)改善作业方式；</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使作业地点WBGT指数符合标准。</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bCs/>
          <w:sz w:val="24"/>
          <w:szCs w:val="24"/>
          <w:lang w:val="en-US" w:eastAsia="zh-CN"/>
        </w:rPr>
        <w:t>第六组</w:t>
      </w:r>
      <w:bookmarkStart w:id="0" w:name="_GoBack"/>
      <w:bookmarkEnd w:id="0"/>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1.生产性粉尘的六个来源</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1)固体物质的机械加工、粉碎；金属的研磨、切削；</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2)矿石的粉碎、筛分、配料或岩石的钻孔、爆破和破碎等；</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3)耐火材料、玻璃、水泥和陶瓷等工业中原料加工；</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4)皮毛、纺织物等原料处理；</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5)化学工业中固体原料加工处理；</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6)物质加热时产生的蒸气、有机物质的不完全燃烧所产生的烟。 </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2.毒物、有害气体的六种净化方法</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1)洗涤法；</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2)吸附法；</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3)袋滤法；</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4)静电法；</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5)燃烧法；</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6)高空排放法。 </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3.高温作业的六种防护</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1)工艺与装备：应合理设计工艺流程，改进生产设备和操作方法（根本措施）；</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2)隔热：是防止热辐射的重要措施；</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3)通风降温：有自然通风和机械通风两种方式；</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4)保健措施：供给饮料和补充营养；</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5)个体防护：使用耐热工作服等；</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6)异常气压的预防。</w:t>
      </w:r>
    </w:p>
    <w:p>
      <w:pPr>
        <w:jc w:val="left"/>
        <w:rPr>
          <w:rFonts w:hint="eastAsia" w:ascii="微软雅黑" w:hAnsi="微软雅黑" w:eastAsia="微软雅黑" w:cs="微软雅黑"/>
          <w:b w:val="0"/>
          <w:bCs w:val="0"/>
          <w:sz w:val="24"/>
          <w:szCs w:val="24"/>
          <w:lang w:val="en-US" w:eastAsia="zh-CN"/>
        </w:rPr>
      </w:pPr>
    </w:p>
    <w:p>
      <w:pPr>
        <w:jc w:val="left"/>
        <w:rPr>
          <w:rFonts w:hint="eastAsia" w:ascii="微软雅黑" w:hAnsi="微软雅黑" w:eastAsia="微软雅黑" w:cs="微软雅黑"/>
          <w:b w:val="0"/>
          <w:bCs w:val="0"/>
          <w:sz w:val="24"/>
          <w:szCs w:val="24"/>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34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6857" w:type="dxa"/>
      <w:jc w:val="center"/>
      <w:tblInd w:w="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6"/>
      <w:gridCol w:w="4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jc w:val="center"/>
      </w:trPr>
      <w:tc>
        <w:tcPr>
          <w:tcW w:w="2266" w:type="dxa"/>
        </w:tcPr>
        <w:p>
          <w:pPr>
            <w:pStyle w:val="4"/>
            <w:pBdr>
              <w:bottom w:val="none" w:color="auto" w:sz="0" w:space="0"/>
            </w:pBdr>
            <w:jc w:val="right"/>
          </w:pPr>
          <w:r>
            <w:drawing>
              <wp:inline distT="0" distB="0" distL="0" distR="0">
                <wp:extent cx="676275" cy="6762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tc>
      <w:tc>
        <w:tcPr>
          <w:tcW w:w="4591" w:type="dxa"/>
          <w:vAlign w:val="center"/>
        </w:tcPr>
        <w:p>
          <w:pPr>
            <w:pStyle w:val="4"/>
            <w:pBdr>
              <w:bottom w:val="none" w:color="auto" w:sz="0" w:space="0"/>
            </w:pBdr>
            <w:rPr>
              <w:rFonts w:hint="eastAsia" w:ascii="微软雅黑" w:hAnsi="微软雅黑" w:eastAsia="微软雅黑"/>
              <w:sz w:val="28"/>
              <w:szCs w:val="28"/>
            </w:rPr>
          </w:pPr>
          <w:r>
            <w:rPr>
              <w:rFonts w:hint="eastAsia" w:ascii="微软雅黑" w:hAnsi="微软雅黑" w:eastAsia="微软雅黑"/>
              <w:sz w:val="28"/>
              <w:szCs w:val="28"/>
            </w:rPr>
            <w:t>扫码下载233网校题库</w:t>
          </w:r>
        </w:p>
        <w:p>
          <w:pPr>
            <w:pStyle w:val="4"/>
            <w:pBdr>
              <w:bottom w:val="none" w:color="auto" w:sz="0" w:space="0"/>
            </w:pBdr>
          </w:pPr>
          <w:r>
            <w:rPr>
              <w:rFonts w:ascii="微软雅黑" w:hAnsi="微软雅黑" w:eastAsia="微软雅黑"/>
              <w:sz w:val="28"/>
              <w:szCs w:val="28"/>
            </w:rPr>
            <w:t>一刷就过，千万人掌上题库！</w:t>
          </w:r>
        </w:p>
      </w:tc>
    </w:tr>
  </w:tbl>
  <w:p>
    <w:pPr>
      <w:pStyle w:val="3"/>
      <w:tabs>
        <w:tab w:val="left" w:pos="270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pPr>
  </w:p>
  <w:tbl>
    <w:tblPr>
      <w:tblStyle w:val="10"/>
      <w:tblW w:w="98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26"/>
      <w:gridCol w:w="7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2826" w:type="dxa"/>
        </w:tcPr>
        <w:p>
          <w:pPr>
            <w:pStyle w:val="4"/>
            <w:pBdr>
              <w:bottom w:val="none" w:color="auto" w:sz="0" w:space="0"/>
            </w:pBdr>
            <w:jc w:val="left"/>
          </w:pPr>
        </w:p>
        <w:p>
          <w:pPr>
            <w:pStyle w:val="4"/>
            <w:pBdr>
              <w:bottom w:val="none" w:color="auto" w:sz="0" w:space="0"/>
            </w:pBdr>
            <w:jc w:val="left"/>
          </w:pPr>
          <w:r>
            <w:pict>
              <v:shape id="WordPictureWatermark1032578455" o:spid="_x0000_s4098" o:spt="75" type="#_x0000_t75" style="position:absolute;left:0pt;height:769.15pt;width:46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排版"/>
                <o:lock v:ext="edit" aspectratio="t"/>
              </v:shape>
            </w:pict>
          </w:r>
          <w:r>
            <w:drawing>
              <wp:inline distT="0" distB="0" distL="114300" distR="114300">
                <wp:extent cx="1656080" cy="445135"/>
                <wp:effectExtent l="0" t="0" r="1270" b="1206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2"/>
                        <a:stretch>
                          <a:fillRect/>
                        </a:stretch>
                      </pic:blipFill>
                      <pic:spPr>
                        <a:xfrm>
                          <a:off x="0" y="0"/>
                          <a:ext cx="1656080" cy="445135"/>
                        </a:xfrm>
                        <a:prstGeom prst="rect">
                          <a:avLst/>
                        </a:prstGeom>
                        <a:noFill/>
                        <a:ln w="9525">
                          <a:noFill/>
                        </a:ln>
                      </pic:spPr>
                    </pic:pic>
                  </a:graphicData>
                </a:graphic>
              </wp:inline>
            </w:drawing>
          </w:r>
        </w:p>
      </w:tc>
      <w:tc>
        <w:tcPr>
          <w:tcW w:w="7009" w:type="dxa"/>
        </w:tcPr>
        <w:p>
          <w:pPr>
            <w:pStyle w:val="4"/>
            <w:pBdr>
              <w:bottom w:val="none" w:color="auto" w:sz="0" w:space="0"/>
            </w:pBdr>
            <w:jc w:val="left"/>
            <w:rPr>
              <w:rFonts w:hint="eastAsia" w:ascii="微软雅黑" w:hAnsi="微软雅黑" w:eastAsia="微软雅黑"/>
              <w:sz w:val="21"/>
              <w:szCs w:val="21"/>
            </w:rPr>
          </w:pPr>
          <w:r>
            <w:rPr>
              <w:rFonts w:hint="eastAsia" w:ascii="微软雅黑" w:hAnsi="微软雅黑" w:eastAsia="微软雅黑"/>
              <w:sz w:val="21"/>
              <w:szCs w:val="21"/>
            </w:rPr>
            <w:t>233网校</w:t>
          </w:r>
          <w:r>
            <w:rPr>
              <w:rFonts w:hint="eastAsia" w:ascii="微软雅黑" w:hAnsi="微软雅黑" w:eastAsia="微软雅黑"/>
              <w:sz w:val="21"/>
              <w:szCs w:val="21"/>
              <w:lang w:eastAsia="zh-CN"/>
            </w:rPr>
            <w:t>安全工程师考试网</w:t>
          </w:r>
          <w:r>
            <w:rPr>
              <w:rFonts w:hint="eastAsia" w:ascii="微软雅黑" w:hAnsi="微软雅黑" w:eastAsia="微软雅黑"/>
              <w:sz w:val="21"/>
              <w:szCs w:val="21"/>
            </w:rPr>
            <w:t>：www.233.com/</w:t>
          </w:r>
          <w:r>
            <w:rPr>
              <w:rFonts w:hint="eastAsia" w:ascii="微软雅黑" w:hAnsi="微软雅黑" w:eastAsia="微软雅黑"/>
              <w:sz w:val="21"/>
              <w:szCs w:val="21"/>
              <w:lang w:val="en-US" w:eastAsia="zh-CN"/>
            </w:rPr>
            <w:t>aq</w:t>
          </w:r>
          <w:r>
            <w:rPr>
              <w:rFonts w:hint="eastAsia" w:ascii="微软雅黑" w:hAnsi="微软雅黑" w:eastAsia="微软雅黑"/>
              <w:sz w:val="21"/>
              <w:szCs w:val="21"/>
            </w:rPr>
            <w:t>/</w:t>
          </w:r>
        </w:p>
        <w:p>
          <w:pPr>
            <w:pStyle w:val="4"/>
            <w:pBdr>
              <w:bottom w:val="none" w:color="auto" w:sz="0" w:space="0"/>
            </w:pBdr>
            <w:jc w:val="left"/>
            <w:rPr>
              <w:rFonts w:hint="eastAsia" w:ascii="微软雅黑" w:hAnsi="微软雅黑" w:eastAsia="微软雅黑"/>
              <w:sz w:val="21"/>
              <w:szCs w:val="21"/>
            </w:rPr>
          </w:pPr>
          <w:r>
            <w:rPr>
              <w:rFonts w:hint="eastAsia" w:ascii="微软雅黑" w:hAnsi="微软雅黑" w:eastAsia="微软雅黑"/>
              <w:sz w:val="21"/>
              <w:szCs w:val="21"/>
              <w:lang w:eastAsia="zh-CN"/>
            </w:rPr>
            <w:t>安全工程师</w:t>
          </w:r>
          <w:r>
            <w:rPr>
              <w:rFonts w:hint="eastAsia" w:ascii="微软雅黑" w:hAnsi="微软雅黑" w:eastAsia="微软雅黑"/>
              <w:sz w:val="21"/>
              <w:szCs w:val="21"/>
            </w:rPr>
            <w:t>网校听课：wx.233.com/</w:t>
          </w:r>
          <w:r>
            <w:rPr>
              <w:rFonts w:hint="eastAsia" w:ascii="微软雅黑" w:hAnsi="微软雅黑" w:eastAsia="微软雅黑"/>
              <w:sz w:val="21"/>
              <w:szCs w:val="21"/>
              <w:lang w:val="en-US" w:eastAsia="zh-CN"/>
            </w:rPr>
            <w:t>aq</w:t>
          </w:r>
          <w:r>
            <w:rPr>
              <w:rFonts w:hint="eastAsia" w:ascii="微软雅黑" w:hAnsi="微软雅黑" w:eastAsia="微软雅黑"/>
              <w:sz w:val="21"/>
              <w:szCs w:val="21"/>
            </w:rPr>
            <w:t>/</w:t>
          </w:r>
        </w:p>
        <w:p>
          <w:pPr>
            <w:pStyle w:val="4"/>
            <w:pBdr>
              <w:bottom w:val="none" w:color="auto" w:sz="0" w:space="0"/>
            </w:pBdr>
            <w:jc w:val="left"/>
            <w:rPr>
              <w:rFonts w:ascii="微软雅黑" w:hAnsi="微软雅黑" w:eastAsia="微软雅黑"/>
            </w:rPr>
          </w:pPr>
          <w:r>
            <w:rPr>
              <w:rFonts w:hint="eastAsia" w:ascii="微软雅黑" w:hAnsi="微软雅黑" w:eastAsia="微软雅黑"/>
              <w:sz w:val="21"/>
              <w:szCs w:val="21"/>
              <w:lang w:eastAsia="zh-CN"/>
            </w:rPr>
            <w:t>加入</w:t>
          </w:r>
          <w:r>
            <w:rPr>
              <w:rFonts w:hint="eastAsia" w:ascii="微软雅黑" w:hAnsi="微软雅黑" w:eastAsia="微软雅黑"/>
              <w:sz w:val="21"/>
              <w:szCs w:val="21"/>
              <w:lang w:val="en-US" w:eastAsia="zh-CN"/>
            </w:rPr>
            <w:t>QQ</w:t>
          </w:r>
          <w:r>
            <w:rPr>
              <w:rFonts w:hint="eastAsia" w:ascii="微软雅黑" w:hAnsi="微软雅黑" w:eastAsia="微软雅黑"/>
              <w:sz w:val="21"/>
              <w:szCs w:val="21"/>
            </w:rPr>
            <w:t>学习群：313396291</w:t>
          </w:r>
        </w:p>
      </w:tc>
    </w:tr>
  </w:tbl>
  <w:p>
    <w:pPr>
      <w:pStyle w:val="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4" o:spid="_x0000_s4099" o:spt="75" type="#_x0000_t75" style="position:absolute;left:0pt;height:769.15pt;width:46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3" o:spid="_x0000_s4097" o:spt="75" type="#_x0000_t75" style="position:absolute;left:0pt;height:769.15pt;width:461.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76C"/>
    <w:rsid w:val="000F27C9"/>
    <w:rsid w:val="002E176C"/>
    <w:rsid w:val="00611655"/>
    <w:rsid w:val="00677F79"/>
    <w:rsid w:val="00690A0D"/>
    <w:rsid w:val="00776125"/>
    <w:rsid w:val="007D1165"/>
    <w:rsid w:val="00B356CB"/>
    <w:rsid w:val="00B96415"/>
    <w:rsid w:val="00C41609"/>
    <w:rsid w:val="00F56076"/>
    <w:rsid w:val="02D66851"/>
    <w:rsid w:val="0BE94E15"/>
    <w:rsid w:val="0E3D40D7"/>
    <w:rsid w:val="13920207"/>
    <w:rsid w:val="16F95868"/>
    <w:rsid w:val="1EB8352D"/>
    <w:rsid w:val="1FDF25E7"/>
    <w:rsid w:val="22853731"/>
    <w:rsid w:val="380C536E"/>
    <w:rsid w:val="3FEF71BD"/>
    <w:rsid w:val="44B70F26"/>
    <w:rsid w:val="535D7F99"/>
    <w:rsid w:val="5FD14C39"/>
    <w:rsid w:val="628F40DF"/>
    <w:rsid w:val="64632AAB"/>
    <w:rsid w:val="6BBD1817"/>
    <w:rsid w:val="6F4B24BC"/>
    <w:rsid w:val="705C6B3E"/>
    <w:rsid w:val="72995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D2EDA-1AC1-4691-8DBA-3DBD590641FC}">
  <ds:schemaRefs/>
</ds:datastoreItem>
</file>

<file path=docProps/app.xml><?xml version="1.0" encoding="utf-8"?>
<Properties xmlns="http://schemas.openxmlformats.org/officeDocument/2006/extended-properties" xmlns:vt="http://schemas.openxmlformats.org/officeDocument/2006/docPropsVTypes">
  <Template>Normal</Template>
  <Pages>16</Pages>
  <Words>7915</Words>
  <Characters>8926</Characters>
  <Lines>1</Lines>
  <Paragraphs>1</Paragraphs>
  <TotalTime>0</TotalTime>
  <ScaleCrop>false</ScaleCrop>
  <LinksUpToDate>false</LinksUpToDate>
  <CharactersWithSpaces>9159</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2017-02-20T08:54:00Z</dcterms:created>
  <dc:creator>llllu</dc:creator>
  <cp:lastModifiedBy>YYT.</cp:lastModifiedBy>
  <dcterms:modified xsi:type="dcterms:W3CDTF">2018-10-16T01:05:49Z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