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233网校特岗教师频道（</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"http://www.233.com/tegang/"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http://www.233.com/tegang/</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）为考生提供考生资讯、辅导资料、试题资料。</w:t>
      </w:r>
    </w:p>
    <w:p>
      <w:pPr>
        <w:spacing w:line="360" w:lineRule="auto"/>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关注微信号：</w:t>
      </w:r>
      <w:r>
        <w:rPr>
          <w:rFonts w:hint="eastAsia" w:asciiTheme="minorEastAsia" w:hAnsiTheme="minorEastAsia" w:eastAsiaTheme="minorEastAsia" w:cstheme="minorEastAsia"/>
          <w:b/>
          <w:bCs/>
          <w:color w:val="FF0000"/>
          <w:sz w:val="28"/>
          <w:szCs w:val="28"/>
        </w:rPr>
        <w:t>ks233wx7</w:t>
      </w:r>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233网校特岗教师资料交流群：http://www.233.com/tegang/zhuanti/QQqun/</w:t>
      </w:r>
      <w:bookmarkStart w:id="0" w:name="_GoBack"/>
      <w:bookmarkEnd w:id="0"/>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2019甘肃特岗教师考试《公共基础知识》冲关100题</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（法律专项篇）</w:t>
      </w:r>
    </w:p>
    <w:p>
      <w:pPr>
        <w:pStyle w:val="4"/>
        <w:keepNext w:val="0"/>
        <w:keepLines w:val="0"/>
        <w:widowControl/>
        <w:suppressLineNumbers w:val="0"/>
        <w:rPr>
          <w:rStyle w:val="6"/>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2019年甘肃教师招聘特岗教师报名时间为2019年5月底，</w:t>
      </w:r>
      <w:r>
        <w:rPr>
          <w:rFonts w:hint="eastAsia" w:asciiTheme="minorEastAsia" w:hAnsiTheme="minorEastAsia" w:eastAsiaTheme="minorEastAsia" w:cstheme="minorEastAsia"/>
          <w:color w:val="E53B29"/>
          <w:sz w:val="21"/>
          <w:szCs w:val="21"/>
        </w:rPr>
        <w:t>笔试</w:t>
      </w:r>
      <w:r>
        <w:rPr>
          <w:rFonts w:hint="eastAsia" w:asciiTheme="minorEastAsia" w:hAnsiTheme="minorEastAsia" w:eastAsiaTheme="minorEastAsia" w:cstheme="minorEastAsia"/>
          <w:sz w:val="21"/>
          <w:szCs w:val="21"/>
        </w:rPr>
        <w:t>时间为2019年7月。大家提前关注甘肃特岗教师考试内容，提前备考，争取一次高分上岸！</w:t>
      </w:r>
      <w:r>
        <w:rPr>
          <w:rFonts w:hint="eastAsia" w:asciiTheme="minorEastAsia" w:hAnsiTheme="minorEastAsia" w:eastAsiaTheme="minorEastAsia" w:cstheme="minorEastAsia"/>
          <w:color w:val="FF0000"/>
          <w:sz w:val="21"/>
          <w:szCs w:val="21"/>
          <w:u w:val="none"/>
        </w:rPr>
        <w:fldChar w:fldCharType="begin"/>
      </w:r>
      <w:r>
        <w:rPr>
          <w:rFonts w:hint="eastAsia" w:asciiTheme="minorEastAsia" w:hAnsiTheme="minorEastAsia" w:eastAsiaTheme="minorEastAsia" w:cstheme="minorEastAsia"/>
          <w:color w:val="FF0000"/>
          <w:sz w:val="21"/>
          <w:szCs w:val="21"/>
          <w:u w:val="none"/>
        </w:rPr>
        <w:instrText xml:space="preserve"> HYPERLINK "http://wx.233.com/tegang/?ukey=zl" </w:instrText>
      </w:r>
      <w:r>
        <w:rPr>
          <w:rFonts w:hint="eastAsia" w:asciiTheme="minorEastAsia" w:hAnsiTheme="minorEastAsia" w:eastAsiaTheme="minorEastAsia" w:cstheme="minorEastAsia"/>
          <w:color w:val="FF0000"/>
          <w:sz w:val="21"/>
          <w:szCs w:val="21"/>
          <w:u w:val="none"/>
        </w:rPr>
        <w:fldChar w:fldCharType="separate"/>
      </w:r>
      <w:r>
        <w:rPr>
          <w:rStyle w:val="6"/>
          <w:rFonts w:hint="eastAsia" w:asciiTheme="minorEastAsia" w:hAnsiTheme="minorEastAsia" w:eastAsiaTheme="minorEastAsia" w:cstheme="minorEastAsia"/>
          <w:color w:val="FF0000"/>
          <w:sz w:val="21"/>
          <w:szCs w:val="21"/>
        </w:rPr>
        <w:t>甘肃特岗如何备考？陈龙老师详解笔试核心考点+经典考题&gt;</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u w:val="none"/>
        </w:rPr>
        <w:fldChar w:fldCharType="end"/>
      </w:r>
      <w:r>
        <w:rPr>
          <w:rFonts w:hint="eastAsia" w:asciiTheme="minorEastAsia" w:hAnsiTheme="minorEastAsia" w:eastAsiaTheme="minorEastAsia" w:cstheme="minorEastAsia"/>
          <w:sz w:val="21"/>
          <w:szCs w:val="21"/>
          <w:lang w:val="en-US" w:eastAsia="zh-CN"/>
        </w:rPr>
        <w:t>2019年甘肃特岗教师招聘考试</w:t>
      </w:r>
      <w:r>
        <w:rPr>
          <w:rFonts w:hint="eastAsia" w:asciiTheme="minorEastAsia" w:hAnsiTheme="minorEastAsia" w:eastAsiaTheme="minorEastAsia" w:cstheme="minorEastAsia"/>
          <w:sz w:val="21"/>
          <w:szCs w:val="21"/>
        </w:rPr>
        <w:t>笔试分为公共基础知识测试和专业基础知识测试两部分，各占100分，总分200分。公共基础测试内容主要包括时事、政治、法律、经济、管理、科技、人文和计算机应用等方面的相关基础知识。</w:t>
      </w:r>
      <w:r>
        <w:rPr>
          <w:rFonts w:hint="eastAsia" w:asciiTheme="minorEastAsia" w:hAnsiTheme="minorEastAsia" w:eastAsiaTheme="minorEastAsia" w:cstheme="minorEastAsia"/>
          <w:sz w:val="21"/>
          <w:szCs w:val="21"/>
          <w:lang w:val="en-US" w:eastAsia="zh-CN"/>
        </w:rPr>
        <w:t>233网校特岗小编特整理了2019甘肃特岗教师考试《公共基础知识》冲关测试题（法律专项篇），供大家备考复习！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1.决定法律本质、内容和发展方向的根本因素是：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A.物质资料的生产方式 B.生产力的发展水平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C.文化的发展程度 D.人的素质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2.法律形式又称：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A.法律规定 B.法律渊源 C.法律条文 D.法律文件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3.2015 年 9 月 1 日，由湖南省人民政府颁布实施的《湖南省农村集体经济组织审计办法》属于：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 B.行政法规 C.地方法规 D.地方规章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4.下列关于我国法律效力等级的说法，正确的是：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A.法律的效力低于国务院颁布的行政法规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B.行政法规的效力与地方性法规、规章相当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C.地方性法规的效力高于本级和下级地方政府规章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D.法律和行政法规是平行的，两者具有相同法律效力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5.法律按照不同的标准或角度有着不同分类，按照制定和表达方式的不同，可 以划分为：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A.一般法和特别法 B.国内法和国际法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C.根本法和普通法 D.成文法和习惯法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6.构成一国法律体系的最基本组成单位是：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A.法律制度 B.法律规范 C.法律部门 D.法律条文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7.法律关系是指法律在调整人们行为的过程中形成的特殊社会关系，因此，下 列具有法律关系的是：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A.程某和简某一年前领取结婚证B.刘某与陈某是高中同学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C.经人介绍，赵某和袁某确立恋人关系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D.谭某与李某一年前开始一直以夫妻名义生活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8.法律关系的构成要素是指：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A.主体和客体 B.权利和义务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C.主体、客体和内容 D.主体、权利和义务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9.下列立法程序中，最先进行的是：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A.提出法案 B.审议法案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C.表决和通过法案 D.公布法律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10.法的适用是指：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A.国家司法机关根据法定职权和法定程序，具体应用法律处理案件的专门活动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B.国家行政机关及其公职人员在行使职权过程中，贯彻和实施法律的活动 C.国家立法机关制定法律的活动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D.法律在社会实际生活中的具体运用和实现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11.下列法的形式中，规定国家的基本制度和根本任务，具有最高的法律效力的是：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A.宪法 B.法律 C.行政法规 D.行政规章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12.依据《宪法》规定，我国国家机构的组织和活动原则之一是：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A.民主制 B.协商制 C.民主集中制 D.首长负责制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13.中华人民共和国的根本制度是：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A.人民代表大会制度 B.人民民主专政制度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C.社会主义制度 D.中国共产党领导下的多党合作制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14.我国宪法规定，中华人民共和国是工人阶级领导的、以工农联盟为基础的()的社会主义国家。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A.无产阶级专政 B.人民代表大会 C.人民民主专政 D.多党合作制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15.中华人民共和国的一切权力属于全体：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A.公民 B.人民 C.劳动者 D.爱国者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16. 根据我国宪法规定，中华人民共和国实行的政党制度是：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A.多党制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B.人民民主专政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C.中国共产党一党专政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D.中国共产党领导的多党合作与政治协商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全国人民代表大会代表，省、自治区、直辖市、设区的市、自治州的人民代表大会代表：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A.由选民直接选出 B.由下一级人民代表大会选出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C.由同级人民政府选出 D.由同级人民代表大会主席团选出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18.村民委员会和居民委员会性质是：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A.基层行政机关 B.基层行政机关的派出机关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C.基层群众自治性组织 D.基层干部的独立王国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 负责管理特别行政区的外交事务和防务。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A.中央政府 B.特区政府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C.外交部 D.中央军事委员会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现行宪法规定，法律规定范围内的个体经济、私营经济等非公有制经济是社会主义市场经济的：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A.重要组成部分 B.必要补充 C.有益补充 D.重要补充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21.在我国，掌握国家的经济命脉、在国民经济中起主导作用的是：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A.国有经济 B.集体经济 C.股份制经济 D.私营经济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 根据我国宪法规定，公民在法律面前一律平等原则的具体含义是：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A.中国人民在法律面前平等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B.居住在中国境内的自然人在法律面前平等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C.中国公民在法律面前平等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D.18 周岁以上公民在法律面前平等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23.以下不属于公民的政治权利和自由的是：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A.集会、游行、示威自由 B.出版自由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C.通信自由 D.选举权和被选举权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24.公民最基本的权利是：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A.肖像权 B.人身自由权 C.劳动权 D.姓名权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25.依据我国宪法规定，享有休息权利的主体是：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A.劳动者 B.公民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C.国家机关工作人员 D.企业雇员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26.我国制定《刑法》的目的是为了：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A.维护社会公正 B.体现人民民主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C.惩罚犯罪，保护人民 D.维护共产党的统治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27.罪刑相称，罚当其罪体现了我国刑法的哪一项原则：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A.罪刑法定原则 B.罪刑相适应原则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C.法律适用一律平等原则 D.公平公正原则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28.我国刑法在溯及力上，采用 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A.从新兼从轻 B.从旧兼从轻 C.从旧兼从重 D.从新兼从重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29.我国刑法规定的完全刑事责任年龄是：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A.15 岁 B.16 岁 C.17 岁 D.18 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30.又聋又哑的人或者盲人犯罪， 处罚。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A.可以从轻 B.应当从轻，减轻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C.可以减轻或者免除 D.可以从轻、减轻或者免除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精神病人在实施危害社会行为时，只有其 自己的行为时，才属无刑事责任 能力人，不负刑事责任。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A.能辨认但不能很好控制 B.不能清楚辨认也不能很好控制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C.尚未完全丧失辨认或者控制 D.不能辨认或者不能控制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警察苏某与罗某开玩笑，随手拿起执勤时放在桌上的手枪向罗某瞄准、开枪，并同时戏称“我一枪打死你”，不料枪中有子弹，罗某被当场打死，苏 某的行为是：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A.故意犯罪行为 B.意外事故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C.疏忽大意的过失 D.过于自信的过失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甲欲杀死乙，在乙饭碗里投放毒药，不料朋友丙分食了乙的饭菜，甲为了杀死乙， 没有阻止丙，结果导致乙和丙均中毒死亡。甲对丙死亡所持的心理态度是：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A.过于自信的过失 B.疏忽大意的过失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C.间接故意 D.直接故意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34.一般来说，犯罪行为直接作用的具体物或具体人是：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A.社会关系 B.犯罪客体 C.危害结果 D.犯罪对象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某夜，刘某入室盗窃时见室内一女子正处熟睡状态，遂起歹意，欲实施强奸。当他撕扯该女子衣服时，该女子醒来奋力反抗，随手握起一钳子猛击刘某 头部，致其当 场死亡。该女子的行为是：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A.正当防卫 B.防卫过当 C.紧急避险 D.故意杀人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36. 王某在实施盗窃时，因未撬开防盗门而最终放弃。王某的行为属于：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A.犯罪预备 B.犯罪未遂 C.犯罪中止 D.犯罪既遂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 甲欲害其妻，某日将毒药投入到其妻要服用的中药当中，让其服下，服药后其妻痛苦万分，其状惨不忍睹，甲急忙将其送往医院急救保住了性命，但由 于中毒太深留 下后遗症。甲的行为属于：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A.犯罪既遂 B.犯罪未遂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C.犯罪中止 D.既是犯罪中止也是未遂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38.刑法法规中，中止犯罪且没有造成伤害的：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A.应减轻处罚 B.应免除处罚 C.可减轻处罚 D.可免除处罚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 程某尾随李某，正欲抢劫李某的钱包时，忽然听到有人叫他的名字，因而未能抢劫李某的钱包，程某的行为：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A.是抢劫罪(犯罪预备) B.是抢劫罪(犯罪未遂)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C.是抢劫罪(犯罪中止) D.不构成犯罪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40.下列选项中，哪一种不属于我国刑法规定的刑种?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A.管制 B.驱逐出境 C.罚款 D.拘役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41.管制作为一种主刑，是由：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A.公安机关判决，群众执行 B.法院判决，法院执行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C.法院判决，社区矫正执行 D.法院判决，劳改机关执行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对于应当判处死刑的犯罪分子，如果不是必须立即执行的，可以判处死刑同时宣告缓期 执行。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A.1年 B.2 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C.6 个月 D.最高不超过 3 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43.没有附加剥夺政治权利的犯罪分子在服刑期间：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A.没有选举权 B.停止行使选举权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C.可以行使选举权 D.经有关机关批准可以行使选举权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 驱逐出境适用于： A.外国人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B.有外交特权和豁免权的外国人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C.有中国籍的但在外国有居住权的中国人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D.和外国人有婚姻关系的中国人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45.根据我国刑法的相关规定，下列属于附加刑的是：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A.有期徒刑 B.无期徒刑 C.死刑 D.罚金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46.行政诉讼所要解决的行政争议是 之间发生的法律争议。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A.行政机关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B.行政机关与行政机关工作人员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C.国有企事业单位与职工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D.行政主体和行政相对人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47. 下列行为中不属于行政诉讼受案范围的是：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A.由行政机关最终裁决的具体行政行为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B.侵犯法定经营自主权的行为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C.没有依法发给抚恤金的行为D.吊销许可证和执照的行为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 居住在甲市甲区的公民，因走私被位于乙市乙区的海关扣留，该公民不服，应向下列哪个单位提起行政诉讼?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A.甲市或乙市中级人民法院 B.甲区或乙区人民法院C.甲区人民法院 D.乙市中级人民法院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49.当事人对罚款的行政处罚决定不服的，直接提起诉讼，应向 法院起诉。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A.行政机关所在地 B.当事人户籍所在地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C.复议机关所在地 D.违法行为所在地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50.行政诉讼中的原、被告一般是：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A.原告为公民、法人或其他组织，被告为国家的行政机关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B.原告是国家机关，被告是国家行政机关工作人员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C.原被告均是国家机关行政工作人员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D.原告是国家行政机关，被告是公民、法人或其他组织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51.行政法的调整对象是：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A.行政关系 B.行政诉讼法律关系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C.行政管理关系 D.行政程序法关系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52. 属于国家行政机关的是：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A.哈尔滨市财政局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B.南岗区人大常委会C.黑龙江省政协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D.依兰县某村民委员会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 某县政府所属林业局在某林区设立木材检查站，对过往木材进行检查，并委托其行使处罚权，木材检查站应当以谁的名义行使处罚权?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A.县林业局 B.林业木材检查站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C.县人民政府 D.县政府法制办</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54. 下列关于行政行为的说法正确的是：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A.行政行为是行政相对人的行为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B.行政行为是行政机关工作人员的行为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C.行政行为是行政主体的行为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D.行政行为是行政法律关系当事人的行为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55.下列不属于行政许可法调整范围的是：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A.老王下岗后自谋出路，想自己开一个小饭馆，于是向工商局提出申请，工 商局经 审查，发给了老王营业执照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B.公安交通部门根据李某的申请，发给李某驾驶执照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C.某大学希望上级教育主管部门拨款对学校扩建，上级教育主管部门对其申 请予以 审批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D.进出口食品检疫机关，对某公司的出口食品鉴定后，贴上检疫标签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 某市政府决定关闭一影响市容环境的屠宰场，并给予受到损失的业主以相应的经济补偿。市政府的这一行为体现了行政许可的：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A.比例原则 B.合法性原则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C.合理性原则 D.信赖保护原则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 行政处罚是针对公民、法人或者其他组织 行为的处理。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A.违反刑事法律规范B.违反所有法律规范C.违反民事法律规范D.违反行政法律规范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58. 对当事人的同一违法行为，根据《行政处罚法》的规定：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A.不得给予两次以上的警告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B.不得给予两次以上的罚款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C.不得给予一次警告，同时责令期限改正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D.不得给予一次行政拘留，同时给予罚款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59.警告属于行政处罚中的哪类?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A.人身处罚 B.财产处罚 C.行为处罚 D.申诫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60.下列不属于行政处罚的是：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A.行政拘留 B.没收财产 C.责令停产停业 D.警告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 某工厂因生产、销售烟花爆竹，被工商行政管理机关吊销了营业执照， 该厂厂长被公安机关治安拘留 5 日。可以同时设定这两种行政处罚的规范性文件是：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 B.行政法规 C.地方性法规 D.行政规章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根据《中华人民共和国行政处罚法》的规定，下列情况中，行为人不受行政处罚的是：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A.受他人胁迫有违法行为的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B.主动消除或减轻违法行为危害后果的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C.配合行政机关查处违法行为有立功表现的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D.违法行为轻微并及时纠正，没有造成危害后果的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63.除法律另有规定的除外，违法行为在 年内未被发现的，不再给予行政处罚。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 B.二 C.三 D.五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违法事实确凿、有法定依据。且拟处以较小数额罚款或警告，则此种情况下可适用的行政处罚决定程序种类是：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A.简易程序 B.一般程序 C.听证程序 D.合议程序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 行政强制措施，是指行政机关在行政管理过程中，为制止违法行为、防止证据损毁、避免危害发生、控制危险扩大等情形，依法对公民的人身自由或公民、法人及其他组织的财物实施 限制或控制的行为。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A.暂时性 B.终局性 C.永久性 D.固定期限性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 中华人民共和国民法调整 的自然人、法人和非法人组织之间的财产关系和 人身关系。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A.平等主体 B.社会主体 C.民事主体 D.法律主体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67. 某商店打出告示：“货物出门，概不退货”，这违反了民事活动的：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A.公平、诚信原则 B.公平平等原则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C.公正合理原则 D.合理合法原则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 一名顾客到水果店买苹果，售货员硬把瘦小的梨也搭配给顾客，售货员的行为违背了市场交易的：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A.平等原则 B.自愿原则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C.公平原则 D.诚实信用原则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69. 姜某有一处房屋，当他得知有一座工厂将要在附近建设，且工厂的噪音很大。姜某就将房屋卖给了想得到一处环境安静的房屋的张某，姜某的行为违背了民法的：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A.自愿原则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B.保护公民、法人的合法民事权益原则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C.等价有偿原则D.诚实信用原则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 公民从 起到死亡时止，具有民事权利能力，依法享有民事权利，承担民事义务。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A.出生时 B.10 周岁 C.14 周岁 D.18 周岁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71.下列属于无民事行为能力人的是：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A.不满 8 周岁的未成年人 B.不满 16 周岁的未成年人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C.不满 18 周岁的未成年人 D.不能完全辨认自己行为的精神病人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72.王某，17 岁，高中毕业到外地工厂打工为生。从民事能力分类来讲， 王某属于：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A.完全民事行为能力人 B.限制民事行为能力人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C.无民事行为能力人 D.附属民事行为能力人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 王某的叔叔是香港的富翁，王某满 16 周岁那年，接受其叔叔遗赠的 10 万元，靠此款生活，王某：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A.为无民事行为能力人 B.为限制民事行为能力人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C.为完全民事行为能力人 D.以上选项都不对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74.某甲的儿子患重病住院，急需用钱，某乙乘机表示愿意借给甲 2000 元，但半年后须加倍偿还，否则以甲的房子代偿，甲表示同意。根据合同法规定，甲、乙之间的 借款合同：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A.因显失公平而无效 B.因显失公平而可撤销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C.因胁迫而无效 D.因胁迫而可撤销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75.物权包括所有权、用益物权和：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A.地役权 B.质权 C.留置权 D.担保物权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76.甲将自己的房屋以 80 万卖给乙，甲交房，乙付款，但未办理过户手续。此时，房屋所有权属于：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A.甲 B.乙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C.甲乙共有 D.甲乙协商确定归谁所有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77.动产物权的权利变动，通常以为公示方法。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A.占有 B.合意 C.登记 D.交付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 是物权种类中最重要的一种权利。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A.所有权 B.债权 C.质权 D.人生权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 是所有权中带有根本性的一项权能。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A.占有 B.使用 C.收益 D.处分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80.下列财产中可以适用善意取得的是：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A.遗失物 B.无主物 C.抵押物 D.盗窃物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81.我国的最高权力机关是最高人民法院。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82.全国人民代表大会和全国人民代表大会常务委员会行使国家立法权。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83.全国人民代表大会常务委员会是一个常设且独立的权力机关。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84.我国法定的宪法解释机关是全国人民代表大会常务委员会。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85.国务院是我国最高立法机关，全国人大常委会是最高行政机关。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86.刑法是国家最高权力机关经由特殊程序制定和修改的，综合性地规定国家、社会和公民生活根本问题的，是具有最高法律效力的一种法。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87.抢劫毒品的不构成犯罪。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88.我国《刑法》中规定的“国家工作人员”仅指公务员。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 李某属国有企业财务人员，私自动用了一笔数额较大的公款去炒股，一个月后被领导发现，其行为属于职务侵占罪。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90.行贿罪的主体不一定是国家工作人员，非国家工作人员也可以构成该罪。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91.行政机关必然只有行政主体地位。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92.行政法和刑法、民法一样，都有一部系统、完整、统一的法典。</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 申请行政机关发放最低生活保证费，行政机关没有依法发放的，公民可以申请行政复议。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94.凡是行政机关都有行政复议权。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 某市卫生局依法对甲征收相关卫生费用，甲逾期不履行，该卫生局可以对甲加处罚款或滞纳金。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 无因管理中管理人享有要求受益人偿付因此而支付的必要费用的权利， 受益人有承担支付管理人由于无因管理事实而发生的费用的义务。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 合同是平等主体的自然人、法人、其他组织之间设立、变更、终止民事权利义务关系的协议。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98.直系血亲和五代以内的旁系血亲禁止结婚。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99.丧偶儿媳对公婆尽了主要赡养义务时，可作为第一顺位继承人。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100.《侵权责任法》规定，饲养的动物造成他人损害的，如果该损害是由于第三人的过错造成的，动物饲养人或管理人承担民事责任，可向第三人追偿。</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参考答案：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99.【答案】A</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100.【答案】A</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41"/>
        <w:tab w:val="clear" w:pos="4153"/>
      </w:tabs>
      <w:rPr>
        <w:rFonts w:hint="eastAsia"/>
      </w:rPr>
    </w:pPr>
    <w:r>
      <w:rPr>
        <w:rFonts w:hint="eastAsia"/>
      </w:rPr>
      <w:tab/>
    </w:r>
  </w:p>
  <w:tbl>
    <w:tblPr>
      <w:tblStyle w:val="7"/>
      <w:tblW w:w="6857" w:type="dxa"/>
      <w:jc w:val="center"/>
      <w:tblInd w:w="0" w:type="dxa"/>
      <w:tblLayout w:type="fixed"/>
      <w:tblCellMar>
        <w:top w:w="0" w:type="dxa"/>
        <w:left w:w="108" w:type="dxa"/>
        <w:bottom w:w="0" w:type="dxa"/>
        <w:right w:w="108" w:type="dxa"/>
      </w:tblCellMar>
    </w:tblPr>
    <w:tblGrid>
      <w:gridCol w:w="2266"/>
      <w:gridCol w:w="4591"/>
    </w:tblGrid>
    <w:tr>
      <w:tblPrEx>
        <w:tblLayout w:type="fixed"/>
        <w:tblCellMar>
          <w:top w:w="0" w:type="dxa"/>
          <w:left w:w="108" w:type="dxa"/>
          <w:bottom w:w="0" w:type="dxa"/>
          <w:right w:w="108" w:type="dxa"/>
        </w:tblCellMar>
      </w:tblPrEx>
      <w:trPr>
        <w:trHeight w:val="528" w:hRule="atLeast"/>
        <w:jc w:val="center"/>
      </w:trPr>
      <w:tc>
        <w:tcPr>
          <w:tcW w:w="2266" w:type="dxa"/>
          <w:vAlign w:val="top"/>
        </w:tcPr>
        <w:p>
          <w:pPr>
            <w:pStyle w:val="3"/>
            <w:pBdr>
              <w:bottom w:val="none" w:color="auto" w:sz="0" w:space="0"/>
            </w:pBdr>
            <w:jc w:val="right"/>
          </w:pPr>
          <w:r>
            <w:drawing>
              <wp:inline distT="0" distB="0" distL="114300" distR="114300">
                <wp:extent cx="676275" cy="676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76275" cy="676275"/>
                        </a:xfrm>
                        <a:prstGeom prst="rect">
                          <a:avLst/>
                        </a:prstGeom>
                        <a:noFill/>
                        <a:ln w="9525">
                          <a:noFill/>
                        </a:ln>
                      </pic:spPr>
                    </pic:pic>
                  </a:graphicData>
                </a:graphic>
              </wp:inline>
            </w:drawing>
          </w:r>
        </w:p>
      </w:tc>
      <w:tc>
        <w:tcPr>
          <w:tcW w:w="4591" w:type="dxa"/>
          <w:vAlign w:val="center"/>
        </w:tcPr>
        <w:p>
          <w:pPr>
            <w:pStyle w:val="3"/>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3"/>
            <w:pBdr>
              <w:bottom w:val="none" w:color="auto" w:sz="0" w:space="0"/>
            </w:pBdr>
          </w:pPr>
          <w:r>
            <w:rPr>
              <w:rFonts w:ascii="微软雅黑" w:hAnsi="微软雅黑" w:eastAsia="微软雅黑"/>
              <w:sz w:val="28"/>
              <w:szCs w:val="28"/>
            </w:rPr>
            <w:t>一刷就过，千万人掌上题库！</w:t>
          </w:r>
        </w:p>
      </w:tc>
    </w:tr>
  </w:tbl>
  <w:p>
    <w:pPr>
      <w:pStyle w:val="2"/>
      <w:tabs>
        <w:tab w:val="left" w:pos="3441"/>
        <w:tab w:val="clear" w:pos="4153"/>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35" w:type="dxa"/>
      <w:jc w:val="center"/>
      <w:tblInd w:w="0" w:type="dxa"/>
      <w:tblLayout w:type="fixed"/>
      <w:tblCellMar>
        <w:top w:w="0" w:type="dxa"/>
        <w:left w:w="108" w:type="dxa"/>
        <w:bottom w:w="0" w:type="dxa"/>
        <w:right w:w="108" w:type="dxa"/>
      </w:tblCellMar>
    </w:tblPr>
    <w:tblGrid>
      <w:gridCol w:w="2826"/>
      <w:gridCol w:w="7009"/>
    </w:tblGrid>
    <w:tr>
      <w:tblPrEx>
        <w:tblLayout w:type="fixed"/>
        <w:tblCellMar>
          <w:top w:w="0" w:type="dxa"/>
          <w:left w:w="108" w:type="dxa"/>
          <w:bottom w:w="0" w:type="dxa"/>
          <w:right w:w="108" w:type="dxa"/>
        </w:tblCellMar>
      </w:tblPrEx>
      <w:trPr>
        <w:trHeight w:val="558" w:hRule="atLeast"/>
        <w:jc w:val="center"/>
      </w:trPr>
      <w:tc>
        <w:tcPr>
          <w:tcW w:w="2826" w:type="dxa"/>
          <w:vAlign w:val="top"/>
        </w:tcPr>
        <w:p>
          <w:pPr>
            <w:pStyle w:val="3"/>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3"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33logo-确定-2014.10"/>
                        <pic:cNvPicPr>
                          <a:picLocks noChangeAspect="1"/>
                        </pic:cNvPicPr>
                      </pic:nvPicPr>
                      <pic:blipFill>
                        <a:blip r:embed="rId1"/>
                        <a:stretch>
                          <a:fillRect/>
                        </a:stretch>
                      </pic:blipFill>
                      <pic:spPr>
                        <a:xfrm>
                          <a:off x="0" y="0"/>
                          <a:ext cx="1649095" cy="461010"/>
                        </a:xfrm>
                        <a:prstGeom prst="rect">
                          <a:avLst/>
                        </a:prstGeom>
                        <a:noFill/>
                        <a:ln w="9525">
                          <a:noFill/>
                        </a:ln>
                      </pic:spPr>
                    </pic:pic>
                  </a:graphicData>
                </a:graphic>
              </wp:inline>
            </w:drawing>
          </w:r>
        </w:p>
      </w:tc>
      <w:tc>
        <w:tcPr>
          <w:tcW w:w="7009" w:type="dxa"/>
          <w:vAlign w:val="top"/>
        </w:tcPr>
        <w:p>
          <w:pPr>
            <w:pStyle w:val="3"/>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6"/>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39660"/>
          <wp:effectExtent l="0" t="0" r="2540" b="8890"/>
          <wp:wrapNone/>
          <wp:docPr id="1" name="WordPictureWatermark3808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9" descr="sy-2019"/>
                  <pic:cNvPicPr>
                    <a:picLocks noChangeAspect="1"/>
                  </pic:cNvPicPr>
                </pic:nvPicPr>
                <pic:blipFill>
                  <a:blip r:embed="rId2"/>
                  <a:stretch>
                    <a:fillRect/>
                  </a:stretch>
                </pic:blipFill>
                <pic:spPr>
                  <a:xfrm>
                    <a:off x="0" y="0"/>
                    <a:ext cx="5274310" cy="743966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730D2"/>
    <w:rsid w:val="063B6239"/>
    <w:rsid w:val="404730D2"/>
    <w:rsid w:val="69D40FCB"/>
    <w:rsid w:val="6D535020"/>
    <w:rsid w:val="7C7F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2019-03-08T02:02:00Z</dcterms:created>
  <dc:creator>Administrator</dc:creator>
  <cp:lastModifiedBy>Administrator</cp:lastModifiedBy>
  <dcterms:modified xsi:type="dcterms:W3CDTF">2019-03-08T03:22:12Z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