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i w:val="0"/>
          <w:iCs w:val="0"/>
          <w:color w:val="C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olor w:val="C00000"/>
          <w:kern w:val="0"/>
          <w:sz w:val="24"/>
          <w:szCs w:val="24"/>
          <w:u w:val="none"/>
          <w:lang w:val="en-US" w:eastAsia="zh-CN" w:bidi="ar"/>
        </w:rPr>
        <w:t>期货从业资格考试QQ群：436786953</w:t>
      </w:r>
    </w:p>
    <w:p>
      <w:pPr>
        <w:pStyle w:val="4"/>
        <w:keepNext w:val="0"/>
        <w:keepLines w:val="0"/>
        <w:widowControl/>
        <w:suppressLineNumbers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2019年</w:t>
      </w:r>
      <w:r>
        <w:rPr>
          <w:rFonts w:hint="eastAsia"/>
          <w:b/>
          <w:bCs/>
          <w:sz w:val="24"/>
          <w:szCs w:val="24"/>
          <w:lang w:val="en-US" w:eastAsia="zh-CN"/>
        </w:rPr>
        <w:t>11</w:t>
      </w:r>
      <w:r>
        <w:rPr>
          <w:b/>
          <w:bCs/>
          <w:sz w:val="24"/>
          <w:szCs w:val="24"/>
        </w:rPr>
        <w:t>月期货法律法规考试真题及答案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【单选题】甲欲申请某期货公司总经理，《期货公司董事、监事和高级管理人员任职资格管理办法》规定甲应当提交()名推荐人的书面推荐意见。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A.2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B.3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C.5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D.7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参考答案：A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参考解析：依据《期货公司董事、监事和高级管理人员任职资格管理办法》第二十二条规定，申请经理层人员的任职资格，应当提交2名推荐人的书面推荐意见。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【单选题】实行全员结算制度的期货交易，会员在期货交易中违约并出现保证金不足时，应当以()的顺序来承担风险。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A.期货交易所自有资金、期货交易所风险准备金和违约会员的自有资金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B.期货交易所风险准备金、违约会员的自有资金和期货交易所自有资金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C.违约会员的自有资金、期货交易所风险准备金和期货交易所自有资金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D.违约会员的自有资金、期货交易所自有资金和期货交易所风险准备金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参考答案：C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参考解析：确《期货交易所管理办法》第八十四条第二款规定，期货交易所先以违约会员的保证金承担该会员的违约责任，保证金不足的，实行全员结算制度的期货交易所应当以违约会员的自有资金、期货交易所风险准备金和期货交易所自有资金承担;实行会员分级结算制度的期货交易所应当以违约会员的自有资金、结算担保金、期货交易所风险准备金和期货交易所自有资金承担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【多选题】下列情形中，期货公司应当承担违约责任的有()。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A.期货公司没有代客户履行申请交割义务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B.在交割日，买方期货公司未向期货交易所账户交付足额货款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C.期货公司依法强行平仓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D.在交割日，卖方期货公司未向期货交易所交付标准仓单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参考答案：ABD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参考解析：根据《最高人民法院关于审理期货纠纷案件若干问题的规定》第四十三条与第四十四条的规定，期货公司没有代客户履行申请交割义务的，应当承担违约责任;造成客户损失的，应当承担赔偿责任。在交割日，卖方期货公司未向期货交易所交付标准仓单，或者买方期货公司未向期货交易所账户交付足额货款，构成交割违约的，违约方应当承担违约责任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【多选题】证券公司与期货公司应当独立经营，保持( )等分开隔离。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A.财务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B.人员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C.经营场所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D.结算系统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参考答案：ABC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参考解析：略</w:t>
      </w:r>
    </w:p>
    <w:p>
      <w:pPr>
        <w:pStyle w:val="4"/>
        <w:keepNext w:val="0"/>
        <w:keepLines w:val="0"/>
        <w:widowControl/>
        <w:suppressLineNumbers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2019年</w:t>
      </w:r>
      <w:r>
        <w:rPr>
          <w:rFonts w:hint="eastAsia"/>
          <w:b/>
          <w:bCs/>
          <w:sz w:val="24"/>
          <w:szCs w:val="24"/>
          <w:lang w:val="en-US" w:eastAsia="zh-CN"/>
        </w:rPr>
        <w:t>11</w:t>
      </w:r>
      <w:r>
        <w:rPr>
          <w:b/>
          <w:bCs/>
          <w:sz w:val="24"/>
          <w:szCs w:val="24"/>
        </w:rPr>
        <w:t>月期货</w:t>
      </w:r>
      <w:r>
        <w:rPr>
          <w:rFonts w:hint="eastAsia"/>
          <w:b/>
          <w:bCs/>
          <w:sz w:val="24"/>
          <w:szCs w:val="24"/>
          <w:lang w:val="en-US" w:eastAsia="zh-CN"/>
        </w:rPr>
        <w:t>基础知识</w:t>
      </w:r>
      <w:r>
        <w:rPr>
          <w:b/>
          <w:bCs/>
          <w:sz w:val="24"/>
          <w:szCs w:val="24"/>
        </w:rPr>
        <w:t>考试真题及答案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1、下列关于国债期货交割的描述中，正确的是()。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A.市场价格最低的债券是最便宜可交割债券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B.隐含回购利率最低的债券是最便宜可交割债券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C.买方拥有可交割债券的选择权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D.卖方拥有可交割债券的选择权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参考答案：D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2、在蝶式套利中，居中月份合约的交易数量()较近月份和较远月份合约的数量之和。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A.小于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B.等于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C.大于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D.两倍于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参考答案：B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3、2018年3月，某企业以1.106 9的汇率买入CME的9月欧元兑美元期货，同时买入相同规模9月到期的欧元兑美元期货看跌期权，执行价格为1.109 3,权利金为0.020美元，如果9月初，欧元兑美元期货价格上涨到1.286 3，此时欧元兑美元期货看跌期权的权利金为0.001美元，企业将期货合约和期权合约全部平仓。该策略的损益为() 美元/欧元。(不考虑交易成本)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A.0.3198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B.0.3012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C.0.1604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D.0.1328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参考答案：C</w:t>
      </w:r>
    </w:p>
    <w:p>
      <w:pPr>
        <w:jc w:val="center"/>
        <w:rPr>
          <w:color w:val="auto"/>
          <w:sz w:val="24"/>
          <w:szCs w:val="24"/>
        </w:rPr>
      </w:pPr>
      <w:r>
        <w:rPr>
          <w:rFonts w:hint="eastAsia"/>
          <w:b/>
          <w:bCs/>
          <w:color w:val="C00000"/>
          <w:sz w:val="24"/>
          <w:szCs w:val="24"/>
          <w:lang w:val="en-US" w:eastAsia="zh-CN"/>
        </w:rPr>
        <w:t>扫描以下二维码，下载更多期货考试资料！</w:t>
      </w:r>
    </w:p>
    <w:p>
      <w:pPr>
        <w:jc w:val="center"/>
        <w:rPr>
          <w:rFonts w:hint="eastAsia"/>
        </w:rPr>
      </w:pPr>
      <w:r>
        <w:rPr>
          <w:color w:val="auto"/>
          <w:sz w:val="24"/>
          <w:szCs w:val="24"/>
        </w:rPr>
        <w:drawing>
          <wp:inline distT="0" distB="0" distL="114300" distR="114300">
            <wp:extent cx="2295525" cy="2324100"/>
            <wp:effectExtent l="0" t="0" r="9525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jc w:val="center"/>
        <w:rPr>
          <w:rFonts w:hint="eastAsia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rPr>
          <w:rFonts w:hint="eastAsia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rPr>
          <w:rFonts w:hint="eastAsia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rPr>
          <w:rFonts w:hint="eastAsia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rPr>
          <w:rFonts w:hint="eastAsia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rPr>
          <w:rFonts w:hint="eastAsia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0" w:footer="3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6633845" cy="514985"/>
          <wp:effectExtent l="0" t="0" r="14605" b="18415"/>
          <wp:docPr id="10" name="图片 10" descr="组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组 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33845" cy="514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  <w:lang w:eastAsia="zh-CN"/>
      </w:rPr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87050"/>
          <wp:effectExtent l="0" t="0" r="0" b="0"/>
          <wp:wrapNone/>
          <wp:docPr id="30" name="WordPictureWatermark171537" descr="组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WordPictureWatermark171537" descr="组 1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drawing>
        <wp:inline distT="0" distB="0" distL="114300" distR="114300">
          <wp:extent cx="6633845" cy="547370"/>
          <wp:effectExtent l="0" t="0" r="14605" b="5080"/>
          <wp:docPr id="11" name="图片 11" descr="word模板_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word模板_0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633845" cy="547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D71"/>
    <w:rsid w:val="001F1DC9"/>
    <w:rsid w:val="002623C0"/>
    <w:rsid w:val="00475D71"/>
    <w:rsid w:val="00570C0B"/>
    <w:rsid w:val="0057247C"/>
    <w:rsid w:val="005E5E46"/>
    <w:rsid w:val="00660662"/>
    <w:rsid w:val="009E124F"/>
    <w:rsid w:val="00AC0E6C"/>
    <w:rsid w:val="00C4772A"/>
    <w:rsid w:val="00C8391E"/>
    <w:rsid w:val="00D2326F"/>
    <w:rsid w:val="06DB711D"/>
    <w:rsid w:val="11D929CB"/>
    <w:rsid w:val="18BA020E"/>
    <w:rsid w:val="1CB55960"/>
    <w:rsid w:val="1EE87FC4"/>
    <w:rsid w:val="200B621B"/>
    <w:rsid w:val="2498460D"/>
    <w:rsid w:val="28B80568"/>
    <w:rsid w:val="36EA1A87"/>
    <w:rsid w:val="37E95E60"/>
    <w:rsid w:val="3BA657B5"/>
    <w:rsid w:val="3C27741D"/>
    <w:rsid w:val="3CC447EA"/>
    <w:rsid w:val="3D4A4E91"/>
    <w:rsid w:val="44BB356F"/>
    <w:rsid w:val="5920448F"/>
    <w:rsid w:val="5933167B"/>
    <w:rsid w:val="65955FA2"/>
    <w:rsid w:val="6C3066E2"/>
    <w:rsid w:val="7527475A"/>
    <w:rsid w:val="76355861"/>
    <w:rsid w:val="7D071B33"/>
    <w:rsid w:val="7EE31167"/>
    <w:rsid w:val="7FB5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uiPriority w:val="99"/>
    <w:rPr>
      <w:color w:val="333333"/>
      <w:u w:val="none"/>
    </w:rPr>
  </w:style>
  <w:style w:type="character" w:styleId="9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6"/>
    <w:link w:val="3"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2">
    <w:name w:val="subject_ans"/>
    <w:basedOn w:val="6"/>
    <w:qFormat/>
    <w:uiPriority w:val="0"/>
    <w:rPr>
      <w:color w:val="E13B29"/>
    </w:rPr>
  </w:style>
  <w:style w:type="character" w:customStyle="1" w:styleId="13">
    <w:name w:val="newspublic_way_icon"/>
    <w:basedOn w:val="6"/>
    <w:qFormat/>
    <w:uiPriority w:val="0"/>
  </w:style>
  <w:style w:type="character" w:customStyle="1" w:styleId="14">
    <w:name w:val="newspublic_remind"/>
    <w:basedOn w:val="6"/>
    <w:uiPriority w:val="0"/>
    <w:rPr>
      <w:color w:val="E13B19"/>
      <w:sz w:val="21"/>
      <w:szCs w:val="21"/>
    </w:rPr>
  </w:style>
  <w:style w:type="character" w:customStyle="1" w:styleId="15">
    <w:name w:val="newspublic_enroll_icon"/>
    <w:basedOn w:val="6"/>
    <w:qFormat/>
    <w:uiPriority w:val="0"/>
  </w:style>
  <w:style w:type="character" w:customStyle="1" w:styleId="16">
    <w:name w:val="tittwo"/>
    <w:basedOn w:val="6"/>
    <w:uiPriority w:val="0"/>
  </w:style>
  <w:style w:type="character" w:customStyle="1" w:styleId="17">
    <w:name w:val="tittwo1"/>
    <w:basedOn w:val="6"/>
    <w:qFormat/>
    <w:uiPriority w:val="0"/>
  </w:style>
  <w:style w:type="character" w:customStyle="1" w:styleId="18">
    <w:name w:val="subject_jx"/>
    <w:basedOn w:val="6"/>
    <w:uiPriority w:val="0"/>
    <w:rPr>
      <w:color w:val="666666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4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1</Lines>
  <Paragraphs>1</Paragraphs>
  <TotalTime>18</TotalTime>
  <ScaleCrop>false</ScaleCrop>
  <LinksUpToDate>false</LinksUpToDate>
  <CharactersWithSpaces>8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2019-07-11T08:11:00Z</dcterms:created>
  <dc:creator>Administrator</dc:creator>
  <cp:lastModifiedBy>一昔</cp:lastModifiedBy>
  <dcterms:modified xsi:type="dcterms:W3CDTF">2019-11-16T07:49:30Z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