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仿宋_GB2312" w:hAnsi="Times New Roman" w:eastAsia="仿宋_GB2312"/>
          <w:bCs/>
          <w:sz w:val="30"/>
          <w:szCs w:val="30"/>
        </w:rPr>
      </w:pPr>
      <w:bookmarkStart w:id="0" w:name="_GoBack"/>
      <w:r>
        <w:rPr>
          <w:rFonts w:hint="eastAsia" w:ascii="仿宋_GB2312" w:hAnsi="Times New Roman" w:eastAsia="仿宋_GB2312"/>
          <w:bCs/>
          <w:sz w:val="30"/>
          <w:szCs w:val="30"/>
        </w:rPr>
        <w:t>附件2</w:t>
      </w:r>
    </w:p>
    <w:p>
      <w:pPr>
        <w:jc w:val="both"/>
        <w:rPr>
          <w:rFonts w:ascii="仿宋_GB2312" w:hAnsi="Times New Roman" w:eastAsia="仿宋_GB2312"/>
          <w:bCs/>
          <w:sz w:val="30"/>
          <w:szCs w:val="30"/>
        </w:rPr>
      </w:pPr>
    </w:p>
    <w:p>
      <w:pPr>
        <w:jc w:val="center"/>
        <w:rPr>
          <w:rFonts w:ascii="仿宋_GB2312" w:hAnsi="Times New Roman" w:eastAsia="仿宋_GB2312"/>
          <w:b/>
          <w:sz w:val="30"/>
          <w:szCs w:val="30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20</w:t>
      </w:r>
      <w:r>
        <w:rPr>
          <w:rFonts w:ascii="仿宋_GB2312" w:hAnsi="Times New Roman" w:eastAsia="仿宋_GB2312"/>
          <w:b/>
          <w:sz w:val="32"/>
          <w:szCs w:val="32"/>
        </w:rPr>
        <w:t>20</w:t>
      </w:r>
      <w:r>
        <w:rPr>
          <w:rFonts w:hint="eastAsia" w:ascii="仿宋_GB2312" w:hAnsi="Times New Roman" w:eastAsia="仿宋_GB2312"/>
          <w:b/>
          <w:sz w:val="32"/>
          <w:szCs w:val="32"/>
        </w:rPr>
        <w:t>年“期货法律法规”考试大纲</w:t>
      </w:r>
    </w:p>
    <w:p>
      <w:pPr>
        <w:rPr>
          <w:rFonts w:ascii="仿宋_GB2312" w:hAnsi="Times New Roman" w:eastAsia="仿宋_GB2312"/>
          <w:sz w:val="30"/>
          <w:szCs w:val="30"/>
        </w:rPr>
      </w:pPr>
    </w:p>
    <w:p>
      <w:pPr>
        <w:numPr>
          <w:ilvl w:val="0"/>
          <w:numId w:val="1"/>
        </w:numPr>
        <w:spacing w:line="360" w:lineRule="auto"/>
        <w:rPr>
          <w:rFonts w:ascii="仿宋_GB2312" w:hAnsi="Times New Roman" w:eastAsia="仿宋_GB2312"/>
          <w:sz w:val="30"/>
          <w:szCs w:val="30"/>
        </w:rPr>
      </w:pPr>
      <w:r>
        <w:rPr>
          <w:rFonts w:ascii="仿宋_GB2312" w:hAnsi="Times New Roman" w:eastAsia="仿宋_GB2312"/>
          <w:sz w:val="30"/>
          <w:szCs w:val="30"/>
        </w:rPr>
        <w:t>行政法规</w:t>
      </w:r>
    </w:p>
    <w:p>
      <w:pPr>
        <w:spacing w:line="360" w:lineRule="auto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 xml:space="preserve">1.期货交易管理条例 </w:t>
      </w:r>
    </w:p>
    <w:p>
      <w:pPr>
        <w:spacing w:line="360" w:lineRule="auto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二、</w:t>
      </w:r>
      <w:r>
        <w:rPr>
          <w:rFonts w:ascii="仿宋_GB2312" w:hAnsi="Times New Roman" w:eastAsia="仿宋_GB2312"/>
          <w:sz w:val="30"/>
          <w:szCs w:val="30"/>
        </w:rPr>
        <w:t>部门规章与规范性文件</w:t>
      </w:r>
    </w:p>
    <w:p>
      <w:pPr>
        <w:spacing w:line="360" w:lineRule="auto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 xml:space="preserve">1.期货投资者保障基金管理办法 </w:t>
      </w:r>
    </w:p>
    <w:p>
      <w:pPr>
        <w:spacing w:line="360" w:lineRule="auto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 xml:space="preserve">2.期货交易所管理办法 </w:t>
      </w:r>
    </w:p>
    <w:p>
      <w:pPr>
        <w:spacing w:line="360" w:lineRule="auto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 xml:space="preserve">3.期货公司监督管理办法 </w:t>
      </w:r>
    </w:p>
    <w:p>
      <w:pPr>
        <w:spacing w:line="360" w:lineRule="auto"/>
        <w:rPr>
          <w:rFonts w:ascii="仿宋_GB2312" w:hAnsi="Times New Roman" w:eastAsia="仿宋_GB2312"/>
          <w:sz w:val="30"/>
          <w:szCs w:val="30"/>
        </w:rPr>
      </w:pPr>
      <w:r>
        <w:rPr>
          <w:rFonts w:ascii="仿宋_GB2312" w:hAnsi="Times New Roman" w:eastAsia="仿宋_GB2312"/>
          <w:sz w:val="30"/>
          <w:szCs w:val="30"/>
        </w:rPr>
        <w:t>4.</w:t>
      </w:r>
      <w:r>
        <w:rPr>
          <w:rFonts w:hint="eastAsia" w:ascii="仿宋_GB2312" w:hAnsi="Times New Roman" w:eastAsia="仿宋_GB2312"/>
          <w:sz w:val="30"/>
          <w:szCs w:val="30"/>
        </w:rPr>
        <w:t xml:space="preserve">期货公司董事、监事和高级管理人员任职资格管理办法 </w:t>
      </w:r>
    </w:p>
    <w:p>
      <w:pPr>
        <w:spacing w:line="360" w:lineRule="auto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 xml:space="preserve">5.期货从业人员管理办法 </w:t>
      </w:r>
    </w:p>
    <w:p>
      <w:pPr>
        <w:spacing w:line="360" w:lineRule="auto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 xml:space="preserve">6.期货公司首席风险官管理规定（试行） </w:t>
      </w:r>
    </w:p>
    <w:p>
      <w:pPr>
        <w:spacing w:line="360" w:lineRule="auto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 xml:space="preserve">7.期货公司金融期货结算业务试行办法 </w:t>
      </w:r>
    </w:p>
    <w:p>
      <w:pPr>
        <w:spacing w:line="360" w:lineRule="auto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 xml:space="preserve">8.期货公司风险监管指标管理办法 </w:t>
      </w:r>
    </w:p>
    <w:p>
      <w:pPr>
        <w:spacing w:line="360" w:lineRule="auto"/>
        <w:rPr>
          <w:rFonts w:ascii="仿宋_GB2312" w:hAnsi="Times New Roman" w:eastAsia="仿宋_GB2312"/>
          <w:sz w:val="30"/>
          <w:szCs w:val="30"/>
        </w:rPr>
      </w:pPr>
      <w:r>
        <w:rPr>
          <w:rFonts w:ascii="仿宋_GB2312" w:hAnsi="Times New Roman" w:eastAsia="仿宋_GB2312"/>
          <w:sz w:val="30"/>
          <w:szCs w:val="30"/>
        </w:rPr>
        <w:t>9.</w:t>
      </w:r>
      <w:r>
        <w:rPr>
          <w:rFonts w:hint="eastAsia" w:ascii="仿宋_GB2312" w:hAnsi="Times New Roman" w:eastAsia="仿宋_GB2312"/>
          <w:sz w:val="30"/>
          <w:szCs w:val="30"/>
        </w:rPr>
        <w:t>证券公司为期货公司提供中间介绍业务试行办法</w:t>
      </w:r>
    </w:p>
    <w:p>
      <w:pPr>
        <w:spacing w:line="360" w:lineRule="auto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1</w:t>
      </w:r>
      <w:r>
        <w:rPr>
          <w:rFonts w:ascii="仿宋_GB2312" w:hAnsi="Times New Roman" w:eastAsia="仿宋_GB2312"/>
          <w:sz w:val="30"/>
          <w:szCs w:val="30"/>
        </w:rPr>
        <w:t>0.</w:t>
      </w:r>
      <w:r>
        <w:rPr>
          <w:rFonts w:hint="eastAsia" w:ascii="仿宋_GB2312" w:hAnsi="Times New Roman" w:eastAsia="仿宋_GB2312"/>
          <w:sz w:val="30"/>
          <w:szCs w:val="30"/>
        </w:rPr>
        <w:t>期货市场客户开户管理规定</w:t>
      </w:r>
    </w:p>
    <w:p>
      <w:pPr>
        <w:spacing w:line="360" w:lineRule="auto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1</w:t>
      </w:r>
      <w:r>
        <w:rPr>
          <w:rFonts w:ascii="仿宋_GB2312" w:hAnsi="Times New Roman" w:eastAsia="仿宋_GB2312"/>
          <w:sz w:val="30"/>
          <w:szCs w:val="30"/>
        </w:rPr>
        <w:t>1.</w:t>
      </w:r>
      <w:r>
        <w:rPr>
          <w:rFonts w:hint="eastAsia" w:ascii="仿宋_GB2312" w:hAnsi="Times New Roman" w:eastAsia="仿宋_GB2312"/>
          <w:sz w:val="30"/>
          <w:szCs w:val="30"/>
        </w:rPr>
        <w:t>期货公司期货投资咨询业务试行办法</w:t>
      </w:r>
    </w:p>
    <w:p>
      <w:pPr>
        <w:spacing w:line="360" w:lineRule="auto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1</w:t>
      </w:r>
      <w:r>
        <w:rPr>
          <w:rFonts w:ascii="仿宋_GB2312" w:hAnsi="Times New Roman" w:eastAsia="仿宋_GB2312"/>
          <w:sz w:val="30"/>
          <w:szCs w:val="30"/>
        </w:rPr>
        <w:t>2.</w:t>
      </w:r>
      <w:r>
        <w:rPr>
          <w:rFonts w:hint="eastAsia" w:ascii="仿宋_GB2312" w:hAnsi="Times New Roman" w:eastAsia="仿宋_GB2312"/>
          <w:sz w:val="30"/>
          <w:szCs w:val="30"/>
        </w:rPr>
        <w:t>证券期货投资者适当性管理办法</w:t>
      </w:r>
    </w:p>
    <w:p>
      <w:pPr>
        <w:spacing w:line="360" w:lineRule="auto"/>
        <w:rPr>
          <w:rFonts w:ascii="仿宋_GB2312" w:hAnsi="Times New Roman" w:eastAsia="仿宋_GB2312"/>
          <w:sz w:val="30"/>
          <w:szCs w:val="30"/>
        </w:rPr>
      </w:pPr>
      <w:r>
        <w:rPr>
          <w:rFonts w:ascii="仿宋_GB2312" w:hAnsi="Times New Roman" w:eastAsia="仿宋_GB2312"/>
          <w:sz w:val="30"/>
          <w:szCs w:val="30"/>
        </w:rPr>
        <w:t>13.</w:t>
      </w:r>
      <w:r>
        <w:rPr>
          <w:rFonts w:hint="eastAsia" w:ascii="仿宋_GB2312" w:hAnsi="Times New Roman" w:eastAsia="仿宋_GB2312"/>
          <w:sz w:val="30"/>
          <w:szCs w:val="30"/>
        </w:rPr>
        <w:t>证券期货经营机构私募资产管理业务管理办法</w:t>
      </w:r>
    </w:p>
    <w:p>
      <w:pPr>
        <w:spacing w:line="360" w:lineRule="auto"/>
        <w:rPr>
          <w:rFonts w:ascii="仿宋_GB2312" w:hAnsi="Times New Roman" w:eastAsia="仿宋_GB2312"/>
          <w:sz w:val="30"/>
          <w:szCs w:val="30"/>
        </w:rPr>
      </w:pPr>
      <w:r>
        <w:rPr>
          <w:rFonts w:ascii="仿宋_GB2312" w:hAnsi="Times New Roman" w:eastAsia="仿宋_GB2312"/>
          <w:sz w:val="30"/>
          <w:szCs w:val="30"/>
        </w:rPr>
        <w:t>14.</w:t>
      </w:r>
      <w:r>
        <w:rPr>
          <w:rFonts w:hint="eastAsia" w:ascii="仿宋_GB2312" w:hAnsi="Times New Roman" w:eastAsia="仿宋_GB2312"/>
          <w:sz w:val="30"/>
          <w:szCs w:val="30"/>
        </w:rPr>
        <w:t>证券期货经营机构私募资产管理计划运作管理规定</w:t>
      </w:r>
    </w:p>
    <w:p>
      <w:pPr>
        <w:spacing w:line="360" w:lineRule="auto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三</w:t>
      </w:r>
      <w:r>
        <w:rPr>
          <w:rFonts w:ascii="仿宋_GB2312" w:hAnsi="Times New Roman" w:eastAsia="仿宋_GB2312"/>
          <w:sz w:val="30"/>
          <w:szCs w:val="30"/>
        </w:rPr>
        <w:t>、协会自律规则</w:t>
      </w:r>
    </w:p>
    <w:p>
      <w:pPr>
        <w:spacing w:line="360" w:lineRule="auto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1.期货从业人员执业行为准则（修订）</w:t>
      </w:r>
    </w:p>
    <w:p>
      <w:pPr>
        <w:spacing w:line="360" w:lineRule="auto"/>
        <w:rPr>
          <w:rFonts w:ascii="仿宋_GB2312" w:hAnsi="Times New Roman" w:eastAsia="仿宋_GB2312"/>
          <w:sz w:val="30"/>
          <w:szCs w:val="30"/>
        </w:rPr>
      </w:pPr>
      <w:r>
        <w:rPr>
          <w:rFonts w:ascii="仿宋_GB2312" w:hAnsi="Times New Roman" w:eastAsia="仿宋_GB2312"/>
          <w:sz w:val="30"/>
          <w:szCs w:val="30"/>
        </w:rPr>
        <w:t>2.</w:t>
      </w:r>
      <w:r>
        <w:rPr>
          <w:rFonts w:hint="eastAsia" w:ascii="仿宋_GB2312" w:hAnsi="Times New Roman" w:eastAsia="仿宋_GB2312"/>
          <w:sz w:val="30"/>
          <w:szCs w:val="30"/>
        </w:rPr>
        <w:t>期货经营机构投资者适当性管理实施指引（试行）、</w:t>
      </w:r>
    </w:p>
    <w:p>
      <w:pPr>
        <w:spacing w:line="360" w:lineRule="auto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四</w:t>
      </w:r>
      <w:r>
        <w:rPr>
          <w:rFonts w:ascii="仿宋_GB2312" w:hAnsi="Times New Roman" w:eastAsia="仿宋_GB2312"/>
          <w:sz w:val="30"/>
          <w:szCs w:val="30"/>
        </w:rPr>
        <w:t>、其他</w:t>
      </w:r>
    </w:p>
    <w:p>
      <w:pPr>
        <w:spacing w:line="360" w:lineRule="auto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 xml:space="preserve">1.中华人民共和国刑法修正案 </w:t>
      </w:r>
    </w:p>
    <w:p>
      <w:pPr>
        <w:spacing w:line="360" w:lineRule="auto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 xml:space="preserve">2.中华人民共和国刑法修正案(六)摘选 </w:t>
      </w:r>
    </w:p>
    <w:p>
      <w:pPr>
        <w:spacing w:line="360" w:lineRule="auto"/>
        <w:rPr>
          <w:rFonts w:ascii="仿宋_GB2312" w:hAnsi="Times New Roman" w:eastAsia="仿宋_GB2312"/>
          <w:sz w:val="30"/>
          <w:szCs w:val="30"/>
        </w:rPr>
      </w:pPr>
      <w:r>
        <w:rPr>
          <w:rFonts w:ascii="仿宋_GB2312" w:hAnsi="Times New Roman" w:eastAsia="仿宋_GB2312"/>
          <w:sz w:val="30"/>
          <w:szCs w:val="30"/>
        </w:rPr>
        <w:t>3.</w:t>
      </w:r>
      <w:r>
        <w:rPr>
          <w:rFonts w:hint="eastAsia" w:ascii="仿宋_GB2312" w:hAnsi="Times New Roman" w:eastAsia="仿宋_GB2312"/>
          <w:sz w:val="30"/>
          <w:szCs w:val="30"/>
        </w:rPr>
        <w:t xml:space="preserve">最高人民法院关于审理期货纠纷案件若干问题的规定 </w:t>
      </w:r>
    </w:p>
    <w:p>
      <w:pPr>
        <w:spacing w:line="360" w:lineRule="auto"/>
        <w:rPr>
          <w:rFonts w:ascii="仿宋_GB2312" w:hAnsi="Times New Roman" w:eastAsia="仿宋_GB2312"/>
          <w:sz w:val="30"/>
          <w:szCs w:val="30"/>
        </w:rPr>
      </w:pPr>
      <w:r>
        <w:rPr>
          <w:rFonts w:ascii="仿宋_GB2312" w:hAnsi="Times New Roman" w:eastAsia="仿宋_GB2312"/>
          <w:sz w:val="30"/>
          <w:szCs w:val="30"/>
        </w:rPr>
        <w:t>4.</w:t>
      </w:r>
      <w:r>
        <w:rPr>
          <w:rFonts w:hint="eastAsia" w:ascii="仿宋_GB2312" w:hAnsi="Times New Roman" w:eastAsia="仿宋_GB2312"/>
          <w:sz w:val="30"/>
          <w:szCs w:val="30"/>
        </w:rPr>
        <w:t>最高人民法院关于审理期货纠纷案件若干问题的规定（二）</w:t>
      </w:r>
    </w:p>
    <w:p>
      <w:pPr>
        <w:spacing w:line="560" w:lineRule="exact"/>
        <w:rPr>
          <w:rFonts w:ascii="仿宋_GB2312" w:hAnsi="Times New Roman" w:eastAsia="仿宋_GB2312"/>
          <w:sz w:val="30"/>
          <w:szCs w:val="30"/>
        </w:rPr>
      </w:pPr>
    </w:p>
    <w:bookmarkEnd w:id="0"/>
    <w:sectPr>
      <w:headerReference r:id="rId3" w:type="default"/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058B6"/>
    <w:multiLevelType w:val="multilevel"/>
    <w:tmpl w:val="231058B6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3B9"/>
    <w:rsid w:val="00064114"/>
    <w:rsid w:val="000B00BC"/>
    <w:rsid w:val="003802AD"/>
    <w:rsid w:val="003B3D80"/>
    <w:rsid w:val="004D0CC6"/>
    <w:rsid w:val="00775DBB"/>
    <w:rsid w:val="00786AD4"/>
    <w:rsid w:val="00A57E1B"/>
    <w:rsid w:val="00BA4BF1"/>
    <w:rsid w:val="00BC7B4B"/>
    <w:rsid w:val="00DD1662"/>
    <w:rsid w:val="00E323B9"/>
    <w:rsid w:val="00F45E68"/>
    <w:rsid w:val="00F62AD1"/>
    <w:rsid w:val="3494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</Words>
  <Characters>409</Characters>
  <Lines>3</Lines>
  <Paragraphs>1</Paragraphs>
  <TotalTime>155</TotalTime>
  <ScaleCrop>false</ScaleCrop>
  <LinksUpToDate>false</LinksUpToDate>
  <CharactersWithSpaces>479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2016-12-16T02:10:00Z</dcterms:created>
  <dc:creator>Administrator</dc:creator>
  <cp:lastModifiedBy>一昔</cp:lastModifiedBy>
  <dcterms:modified xsi:type="dcterms:W3CDTF">2019-11-21T05:59:14Z</dcterms:modified>
  <dc:title>附件2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