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1D41D5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1D41D5"/>
          <w:sz w:val="21"/>
          <w:szCs w:val="21"/>
          <w:lang w:val="en-US" w:eastAsia="zh-CN"/>
        </w:rPr>
        <w:t>233网校中级会计师网址：www.233.com/zhongji/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1D41D5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1D41D5"/>
          <w:sz w:val="21"/>
          <w:szCs w:val="21"/>
          <w:lang w:val="en-US" w:eastAsia="zh-CN"/>
        </w:rPr>
        <w:t>中级会计师资料下载区：https://www.233.com/forum/zhongji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1D41D5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1D41D5"/>
          <w:sz w:val="21"/>
          <w:szCs w:val="21"/>
          <w:lang w:val="en-US" w:eastAsia="zh-CN"/>
        </w:rPr>
        <w:t>中级会计QQ学习群：340313437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color w:val="1D41D5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1D41D5"/>
          <w:sz w:val="21"/>
          <w:szCs w:val="21"/>
          <w:lang w:val="en-US" w:eastAsia="zh-CN"/>
        </w:rPr>
        <w:t>中级会计微信群：sustalks 加学霸君邀请进群</w:t>
      </w:r>
    </w:p>
    <w:p>
      <w:pPr>
        <w:pStyle w:val="5"/>
        <w:keepNext w:val="0"/>
        <w:keepLines w:val="0"/>
        <w:widowControl/>
        <w:suppressLineNumbers w:val="0"/>
        <w:rPr>
          <w:rFonts w:hint="default" w:eastAsiaTheme="minorEastAsia"/>
          <w:lang w:val="en-US" w:eastAsia="zh-CN"/>
        </w:rPr>
      </w:pPr>
      <w:bookmarkStart w:id="0" w:name="_GoBack"/>
      <w:r>
        <w:rPr>
          <w:rStyle w:val="9"/>
        </w:rPr>
        <w:t>2020年中级会计师基础阶段学习计划表</w:t>
      </w:r>
      <w:bookmarkEnd w:id="0"/>
      <w:r>
        <w:rPr>
          <w:rStyle w:val="9"/>
          <w:rFonts w:hint="eastAsia"/>
          <w:lang w:val="en-US" w:eastAsia="zh-CN"/>
        </w:rPr>
        <w:t>-233网校</w:t>
      </w:r>
    </w:p>
    <w:tbl>
      <w:tblPr>
        <w:tblW w:w="0" w:type="auto"/>
        <w:tblCellSpacing w:w="7" w:type="dxa"/>
        <w:tblInd w:w="0" w:type="dxa"/>
        <w:shd w:val="clear" w:color="auto" w:fill="000000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3"/>
        <w:gridCol w:w="1258"/>
        <w:gridCol w:w="65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BDD6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中级会计实务章节</w:t>
            </w:r>
          </w:p>
        </w:tc>
        <w:tc>
          <w:tcPr>
            <w:tcW w:w="150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BDD6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学习时间安排</w:t>
            </w:r>
          </w:p>
        </w:tc>
        <w:tc>
          <w:tcPr>
            <w:tcW w:w="8295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BDD6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核心考点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4月9日-11日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会计基本假设、会计要素及其确认与计量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4月12日-15日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存货的初始计量、存货可变现净值的确定、存货期末计量方法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4月16日-19日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固定资产的确认条件、固定资产初始计量的核算、固定资产的折旧及后续支出、固定资产处置的会计处理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第四章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4月20日-22日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无形资产的确认条件、无形资产初始计量的核算、研究与开发阶段支出的确认、内部研究开发费用的会计处理、使用寿命有限的无形资产摊销、无形资产处置的会计处理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第五章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4月23日-28日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长期股权投资的初始计量、权益法的会计处理、长期股权投资核算方法的转换、长期股权投资的处置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第六章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4月29日-5月1日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投资性房地产的特征和范围、投资性房地产的确认条件、投资性房地产的初始计量、与投资性房地产有关的后续支出、投资性房地产转换的核算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第七章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5月2日-4日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资产减值的范围、资产可收回金额的计量和减值损失的确定、资产组减值损失的分摊步骤和总部资产账面价值的分摊方法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第八章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5月5日-10日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金融资产和金融负债的确认条件、金融资产和金融负债的初始计量的核算、金融资产和金融负债的终止条件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第九章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5月11日-17日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职工薪酬的内容、借款费用的范围和确认原则、借款费用的计量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5月18日-24日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或有负债的的确认条件；预计负债的确认条件；未决诉讼、未决仲裁、产品质量保证、亏损合同的账务处理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第十一章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5月25日-31日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识别合同中的单项履约义务、确定交易价格、将交易价格分摊至各单项履约义务、履行每一单项履约义务时确认收入、附有销售退回条款的销售、售后回购等特定交易的会计处理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第十二章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6月1日-7日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政府补助的定义、特征和分类；政府补助的会计处理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第十三章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6月8日-11日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资产和负债的计税基础、递延所得税负债的确认和计量、递延所得税资产的确认和计量、所得税费用的确认和计量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第十四章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6月12日-15日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外币交易的会计处理、外币财务报表的折算方法、境外经营处置的会计处理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第十五章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6月16日-22日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报表的构成、合并财务报表的合并范围和编制原则、权益法调整长期股权投资的处理、母公司与子公司所有者权益的抵销、内部债权债务抵销、内部存货交易的抵消、内部确认投资收益的抵消、编制合并所有者权益变动表时应抵消的项目、合并所有者权益变动表的格式和编制、合并财务报表附注概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第十六章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6月23日-29日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会计政策变更及其条件、会计政策变更的会计处理、会计估计变更的会计处理、前期差错更正的会计处理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第十七章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6月30日-7月3日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资产负债表日后事项涵盖的期间、资产负债表日后事项的内容、资产负债表日后调整事项的具体会计处理方法、资产负债表日后非调整事项的具体会计处理方法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第十八章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7月4日-7日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政府预算会计和财务会计要素、国库集中支付业务的核算、长期投资的核算、无形资产的核算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第十九章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7月8日-10日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民间非营利组织的概念和特征、受托代理业务的核算、捐赠收入的核算、会费收入的核算、业务活动成本的核算、净资产的核算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复习指导：</w:t>
      </w:r>
    </w:p>
    <w:p>
      <w:pPr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中级会计实务</w:t>
      </w:r>
      <w:r>
        <w:rPr>
          <w:rFonts w:hint="eastAsia" w:ascii="微软雅黑" w:hAnsi="微软雅黑" w:eastAsia="微软雅黑" w:cs="微软雅黑"/>
          <w:sz w:val="21"/>
          <w:szCs w:val="21"/>
        </w:rPr>
        <w:t>考试大纲共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21"/>
          <w:szCs w:val="21"/>
        </w:rPr>
        <w:t>章。主要内容是会计要素的确认、计量、记录和报告及特殊业务的会计处理。考生应掌握和理解会计目标、会计信息质量要求、会计要素的确认和计量等内容。考生在理解会计要素每章内容时，应特别注意理解每一会计要素的“确认和计量”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page"/>
      </w:r>
    </w:p>
    <w:p>
      <w:pPr>
        <w:rPr>
          <w:vanish/>
          <w:sz w:val="24"/>
          <w:szCs w:val="24"/>
        </w:rPr>
      </w:pPr>
    </w:p>
    <w:tbl>
      <w:tblPr>
        <w:tblStyle w:val="6"/>
        <w:tblW w:w="0" w:type="auto"/>
        <w:tblCellSpacing w:w="7" w:type="dxa"/>
        <w:tblInd w:w="0" w:type="dxa"/>
        <w:shd w:val="clear" w:color="auto" w:fill="000000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3"/>
        <w:gridCol w:w="1258"/>
        <w:gridCol w:w="6523"/>
      </w:tblGrid>
      <w:tr>
        <w:tblPrEx>
          <w:shd w:val="clear" w:color="auto" w:fill="00000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BDD6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财务管理章节</w:t>
            </w:r>
          </w:p>
        </w:tc>
        <w:tc>
          <w:tcPr>
            <w:tcW w:w="150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BDD6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学习时间安排</w:t>
            </w:r>
          </w:p>
        </w:tc>
        <w:tc>
          <w:tcPr>
            <w:tcW w:w="8295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BDD6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核心考点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4月9日-15日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企业财务管理的内容、所有者和经营者利益冲突与协调、所有者和债权人利益冲突与协调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4月16日-22日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年金现值和利率的计算、资本资产定价模型、固定成本、变动成本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4月23日-29日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零基预算法、弹性预算法、生产预算、产品成本预算、资金预算、预计资产负债表编制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第四章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4月30日-5月6日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直接筹资与间接筹资、融资租赁的租金计算、融资租赁的筹资特点、吸收直接投资、发行普通股股票、可转换债券、优先股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第五章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5月7日-20日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销售百分比法、银行借款的资本成本率、公司债券的资本成本率、平均资本成本的计算、经营杠杆效应、财务杠杆效应、总杠杆效应、资本结构理论、资本结构优化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第六章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5月21日-6月3日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项目现金流量、净现值、年金净流量、内含收益率、静态回收期、固定资产更新决策、证券资产的特点、证券投资的风险、债券投资、股票投资、基金投资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第七章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6月4日-10日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信用政策决策和现金折扣决策的方法、持有现金的动机、确定目标现金余额的存货模型、确定目标现金金额的随机模型、 最优存货量的确定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第八章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6月11日-17日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成本管理的主要内容、标准成本的制定及差异分析、本量利分析、盈亏平衡分析、目标利润分析、敏感性分析、边际分析、标准成本的制定、成本差异的计算及分析、作业成本、责任成本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第九章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6月18日-24日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剩余股利政策、固定股利支付率政策、股票股利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第十章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6月25日-7月2日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偿债能力分析、营运能力分析、盈利能力分析、发展能力分析、现金流量分析、上市公司特殊财务分析指标、管理层讨论与分析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复习指导：</w:t>
      </w:r>
    </w:p>
    <w:p>
      <w:pPr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中级会计师《财务管理》教材共有十章。第1章和第2章是基础，主要讲述财务管理的基本理论与基础知识；第3章和第10章是财务管理工作环节，主要介绍预算管理、财务分析与评价等内容；第4章至第9章是财务管理内容，主要介绍筹资管理、投资管理、营运资金管理、成本管理和收入与分配管理，是全书的核心。财务管理考试特点是公式比较多，需要考生对重要章节进行全面把握，尤其是涉及计算的部分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page"/>
      </w:r>
    </w:p>
    <w:tbl>
      <w:tblPr>
        <w:tblStyle w:val="6"/>
        <w:tblW w:w="0" w:type="auto"/>
        <w:tblCellSpacing w:w="7" w:type="dxa"/>
        <w:tblInd w:w="0" w:type="dxa"/>
        <w:shd w:val="clear" w:color="auto" w:fill="000000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3"/>
        <w:gridCol w:w="1258"/>
        <w:gridCol w:w="65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BDD6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中级经济法章节</w:t>
            </w:r>
          </w:p>
        </w:tc>
        <w:tc>
          <w:tcPr>
            <w:tcW w:w="150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BDD6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学习时间安排</w:t>
            </w:r>
          </w:p>
        </w:tc>
        <w:tc>
          <w:tcPr>
            <w:tcW w:w="8295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BDD6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核心考点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4月9日-15日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经济法的概念和渊源；法律行为与代理制度；诉讼时效；诉讼管辖；诉讼程序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4月16日-29日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有限责任公司的设立、组织机构、股权转让；股份有限公司的的设立、组织机构；公司股票和公司债券的发行和转让；公司董事、监事、高级管理人员的资格和义务；公司财务、会计的基本要求和公司利润分配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4月30日-5月6日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普通合伙企业；有限合伙企业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第四章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5月7日-20日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证券发行与交易；上市公司收购；保险合同；票据行为；票据权利与抗辩；汇票的背书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第五章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5月21日-6月3日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合同订立；合同履行的规则；保全措施；保证、抵押、质押、留置、定金合同担保方式；合同的变更、合同的转让；合同权利义务终止；买卖合同、赠与合同、借款合同、租赁合同、融资租赁合同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第六章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6月4日-10日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增值税的纳税人、征税范围和税率；增值税应纳税额的计算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第七章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6月11日-17日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企业所得税的纳税人、企业所得税的征税范围、企业所得税的税率；企业所得税的应纳税所得额、企业所得税的应纳税额、企业所得税的征收管理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2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EEEEE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第八章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6月18日-7月1日</w:t>
            </w:r>
          </w:p>
        </w:tc>
        <w:tc>
          <w:tcPr>
            <w:tcW w:w="82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预算法律制度；国有资产管理制度；专利法律制度；商标法律制度；政府采购方式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复习指导：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（1）税法部分：应用性强、遗忘度低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先重习题再解决记忆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先解决主观题，再针对客观题。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（2）经济法部分：①内容碎,考点多,重框架体系的梳理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</w:rPr>
        <w:t>②重理解,重对比,淮确把握法条关键词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</w:rPr>
        <w:t>③坚持全面复习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233网校学霸君寄语：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由于中级会计师考试的备考之路比较漫长，时间久了难免让人心生懈息，这就要求各位考生对自己的学习有个合理的规划。通常情况下，大家都会选择在新版教材出来后开始对中级的正式学习，一直持续到考前一个月的冲刺阶段，这段时间是学习的黄金阶段，也是大部分同学选择的一种学习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但，凡事"预则立，不预则废”，备考中级不是靠运气，而是靠时间和精力的积累。因此，在中级会计预习阶段，我们要每天坚持学习一个章节知识点，不搞集中突击，保持一个每天学习的好习惯，学会对知识点的熟悉，积累自己所学的知识点，为后面的正式备考阶段提前打下基础。</w:t>
      </w:r>
    </w:p>
    <w:p>
      <w:p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保持4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份前</w:t>
      </w:r>
      <w:r>
        <w:rPr>
          <w:rFonts w:hint="eastAsia" w:ascii="微软雅黑" w:hAnsi="微软雅黑" w:eastAsia="微软雅黑" w:cs="微软雅黑"/>
          <w:sz w:val="21"/>
          <w:szCs w:val="21"/>
        </w:rPr>
        <w:t>完成精讲班第一遍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预习</w:t>
      </w:r>
      <w:r>
        <w:rPr>
          <w:rFonts w:hint="eastAsia" w:ascii="微软雅黑" w:hAnsi="微软雅黑" w:eastAsia="微软雅黑" w:cs="微软雅黑"/>
          <w:sz w:val="21"/>
          <w:szCs w:val="21"/>
        </w:rPr>
        <w:t>，整体把握各科知识体系，熟练掌握精讲班中大部分例题。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2020年教材出版后（4月初出版）进入正式备考阶段。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提示：</w:t>
      </w:r>
      <w:r>
        <w:rPr>
          <w:rFonts w:hint="eastAsia" w:ascii="微软雅黑" w:hAnsi="微软雅黑" w:eastAsia="微软雅黑" w:cs="微软雅黑"/>
          <w:sz w:val="21"/>
          <w:szCs w:val="21"/>
        </w:rPr>
        <w:t>考试的本身就是一个要求自我提高的过程，考试只是检验自己掌握的程度，所以要以良好的心态去面对考试，沉着应对，方能正常发挥。</w:t>
      </w:r>
    </w:p>
    <w:tbl>
      <w:tblPr>
        <w:tblStyle w:val="7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3186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31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中级会计三科讲义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（扫码领取）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555115" cy="1524000"/>
                  <wp:effectExtent l="0" t="0" r="698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中级会计免费题库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（扫码下载）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214120" cy="1172210"/>
                  <wp:effectExtent l="0" t="0" r="5080" b="889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中级会计学霸君微信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（扫码添加）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158240" cy="1153795"/>
                  <wp:effectExtent l="0" t="0" r="3810" b="8255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7440" cy="3976370"/>
            <wp:effectExtent l="0" t="0" r="3810" b="5080"/>
            <wp:docPr id="9" name="图片 9" descr="中级会计资料包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中级会计资料包配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6857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4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4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3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835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4"/>
            <w:pBdr>
              <w:bottom w:val="none" w:color="auto" w:sz="0" w:space="0"/>
            </w:pBdr>
            <w:jc w:val="left"/>
          </w:pPr>
          <w:r>
            <w:drawing>
              <wp:inline distT="0" distB="0" distL="114300" distR="114300">
                <wp:extent cx="1656080" cy="436880"/>
                <wp:effectExtent l="0" t="0" r="1270" b="127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4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 w:cs="微软雅黑"/>
              <w:i w:val="0"/>
              <w:caps w:val="0"/>
              <w:color w:val="000000"/>
              <w:spacing w:val="0"/>
              <w:sz w:val="18"/>
              <w:szCs w:val="18"/>
              <w:shd w:val="clear" w:color="auto" w:fill="FFFFFF"/>
            </w:rPr>
            <w:t>233网校</w:t>
          </w:r>
          <w:r>
            <w:rPr>
              <w:rFonts w:hint="eastAsia" w:ascii="微软雅黑" w:hAnsi="微软雅黑" w:eastAsia="微软雅黑"/>
              <w:color w:val="000000"/>
              <w:sz w:val="18"/>
              <w:szCs w:val="18"/>
            </w:rPr>
            <w:t>（</w:t>
          </w:r>
          <w:r>
            <w:rPr>
              <w:color w:val="0000FF"/>
              <w:sz w:val="18"/>
              <w:szCs w:val="18"/>
            </w:rPr>
            <w:fldChar w:fldCharType="begin"/>
          </w:r>
          <w:r>
            <w:rPr>
              <w:color w:val="0000FF"/>
              <w:sz w:val="18"/>
              <w:szCs w:val="18"/>
            </w:rPr>
            <w:instrText xml:space="preserve"> HYPERLINK "http://www.233.com" </w:instrText>
          </w:r>
          <w:r>
            <w:rPr>
              <w:color w:val="0000FF"/>
              <w:sz w:val="18"/>
              <w:szCs w:val="18"/>
            </w:rPr>
            <w:fldChar w:fldCharType="separate"/>
          </w:r>
          <w:r>
            <w:rPr>
              <w:rStyle w:val="10"/>
              <w:rFonts w:hint="eastAsia" w:ascii="微软雅黑" w:hAnsi="微软雅黑" w:eastAsia="微软雅黑"/>
              <w:color w:val="0000FF"/>
              <w:sz w:val="18"/>
              <w:szCs w:val="18"/>
            </w:rPr>
            <w:t>www.233.com</w:t>
          </w:r>
          <w:r>
            <w:rPr>
              <w:rFonts w:hint="eastAsia" w:ascii="微软雅黑" w:hAnsi="微软雅黑" w:eastAsia="微软雅黑"/>
              <w:color w:val="0000FF"/>
              <w:sz w:val="18"/>
              <w:szCs w:val="18"/>
            </w:rPr>
            <w:fldChar w:fldCharType="end"/>
          </w:r>
          <w:r>
            <w:rPr>
              <w:rFonts w:hint="eastAsia" w:ascii="微软雅黑" w:hAnsi="微软雅黑" w:eastAsia="微软雅黑"/>
              <w:color w:val="000000"/>
              <w:sz w:val="18"/>
              <w:szCs w:val="18"/>
            </w:rPr>
            <w:t>）</w:t>
          </w:r>
          <w:r>
            <w:rPr>
              <w:rFonts w:ascii="微软雅黑" w:hAnsi="微软雅黑" w:eastAsia="微软雅黑" w:cs="微软雅黑"/>
              <w:i w:val="0"/>
              <w:caps w:val="0"/>
              <w:color w:val="000000"/>
              <w:spacing w:val="0"/>
              <w:sz w:val="18"/>
              <w:szCs w:val="18"/>
              <w:shd w:val="clear" w:color="auto" w:fill="FFFFFF"/>
            </w:rPr>
            <w:t>是国内知名的综合性考试资讯门户网站，14年在线教育品牌。主要面向建筑工程、金融财会、职业资格等各类考证人群，开展多行业、多领域的在线教育业务，并提供视频课程、考试资讯、免费题库等考试培训服务。</w:t>
          </w:r>
        </w:p>
      </w:tc>
    </w:tr>
  </w:tbl>
  <w:p>
    <w:pPr>
      <w:pStyle w:val="4"/>
      <w:jc w:val="both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40295"/>
          <wp:effectExtent l="0" t="0" r="2540" b="8255"/>
          <wp:wrapNone/>
          <wp:docPr id="2" name="WordPictureWatermark27574" descr="sy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574" descr="sy-20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44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61050" cy="9768205"/>
          <wp:effectExtent l="0" t="0" r="6350" b="4445"/>
          <wp:wrapNone/>
          <wp:docPr id="7" name="WordPictureWatermark1032578454" descr="水印排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032578454" descr="水印排版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0" cy="976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61050" cy="9768205"/>
          <wp:effectExtent l="0" t="0" r="6350" b="4445"/>
          <wp:wrapNone/>
          <wp:docPr id="5" name="WordPictureWatermark1032578453" descr="水印排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032578453" descr="水印排版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0" cy="976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6023"/>
    <w:rsid w:val="058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2020-05-06T07:57:00Z</dcterms:created>
  <dc:creator>子卿</dc:creator>
  <cp:lastModifiedBy>子卿</cp:lastModifiedBy>
  <dcterms:modified xsi:type="dcterms:W3CDTF">2020-05-06T08:01:51Z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