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233 网校中级会计师网址：www.233.com/zhongji/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中级会计师资料下载：http://www.233.com/forum/zhongji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中级会计 QQ 学习群：236715484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>加小编微信：sustalks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val="en-US" w:eastAsia="zh-CN" w:bidi="ar"/>
        </w:rPr>
        <w:t>长期股权投资+合并财务报表相关会计分录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一、取得非同一控制下的子公司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（1）合并对价为固定资产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借：长期股权投资（公允价值）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管理费用（发生的审计、法律服务、评估咨询等中介费用）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贷：固定资产清理等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资产处置损益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（2）合并对价为无形资产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累计摊销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贷：无形资产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资产处置损益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银行存款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（3）合并对价为存货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贷：主营业务收入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应交税费——应交增值税（销项税额）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借：主营业务成本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存货跌价准备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贷：库存商品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（4）合并对价为投资性房地产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贷：其他业务收入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应交税费——应交增值税（销项税额）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借：其他业务成本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投资性房地产累计折旧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投资性房地产减值准备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贷：投资性房地产 （成本模式下）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公允价值模式下：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借：其他业务成本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贷：投资性房地产——成本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——公允价值变动（也可能在借方）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借：公允价值变动损益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贷：其他业务成本（或反向）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借：其他综合收益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贷：其他业务成本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（5）合并对价为金融资产的，公允价值与其账面价值的差额，计入投资收益。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二、持有期间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1、被投资单位宣告分派现金股利或利润的：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借：应收股利 （按持股比例确认）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2、发生减值时：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借：资产减值损失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贷：长期股权投资减值准备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>核算方法的转换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</w:pPr>
      <w:r>
        <w:drawing>
          <wp:inline distT="0" distB="0" distL="114300" distR="114300">
            <wp:extent cx="6645275" cy="68116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8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四、合并四大报表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1、非同一控制下取得子公司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 w:bidi="ar"/>
        </w:rPr>
        <w:t>购买日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合并财务报表的编制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（1）按公允价值对非同一控制下取得子公司财务报表调整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以固定资产举例：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购买日的调整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借：固定资产——原价（调增固定资产价值）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贷：资本公积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借：资本公积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贷：递延所得税负债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母公司长期股权投资与子公司所有者权益抵销处理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drawing>
          <wp:inline distT="0" distB="0" distL="114300" distR="114300">
            <wp:extent cx="4114800" cy="2676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2、非同一控制下取得子公司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 w:bidi="ar"/>
        </w:rPr>
        <w:t>购买日后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合并财务报表的编制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（1）对子公司个别财务报表进行调整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投资当年：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借：固定资产——原价（调增固定资产价值）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贷：资本公积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借：资本公积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贷：递延所得税负债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贷：固定资产——累计折旧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借：递延所得税负债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贷：所得税费用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连续编制合并财务报表：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借：固定资产——原价（调增固定资产价值）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贷：资本公积——年初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借：资本公积——年初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贷：递延所得税负债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借：未分配利润——年初（年初累计补提折旧）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贷：固定资产——累计折旧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借：递延所得税负债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贷：未分配利润——年初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借：管理费用（当年补提折旧）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贷：固定资产——累计折旧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借：递延所得税负债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贷：所得税费用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无形资产、存货、应收票据及应收账款同理，调整相应的价值、累计摊销、营业成本和信用减值损失。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（2）长期股权投资由成本法调整为权益法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（1）投资当年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①调整被投资单位盈利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②调整被投资单位亏损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③调整被投资单位分派现金股利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④调整子公司其他综合收益变动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贷：其他综合收益——本年（或相反）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⑤调整子公司除净损益、其他综合收益以及利润分配以外所有者权益的其他变动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贷：资本公积——本年（或相反）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（2）连续编制合并财务报表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①调整以前年度被投资单位盈亏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贷：未分配利润——年初（或相反）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②调整被投资单位本年盈利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③调整被投资单位本年亏损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④调整被投资单位以前年度分派现金股利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⑤调整被投资单位当年分派现金股利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借：投资收益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⑥调整子公司以前年度其他综合收益变动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贷：其他综合收益—年初（或相反）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⑦调整子公司本年其他综合收益变动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贷：其他综合收益—本年（或相反）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⑧调整子公司以前年度除净损益、其他综合收益以及利润分配以外的所有者权益的其他变动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贷：资本公积—年初（或相反）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⑨调整子公司本年除净损益、其他综合收益以及利润分配以外的所有者权益的其他变动（假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定所有者权益增加）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借：长期股权投资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贷：资本公积—本年（或相反）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（3）抵销分录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母公司长期股权投资与子公司所有者权益的抵销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借：股本（实收资本）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资本公积（调整后的）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其他综合收益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盈余公积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未分配利润—年末 （调整后的）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商誉（借方差额）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贷：长期股权投资（母公司）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少数股东权益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（子公司所有者权益×少数股东投资持股比例）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母公司对子公司持有对方长期股权投资投资收益抵销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借：投资收益 （调整后的利润*持股比例）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少数股东损益（调整后的利润*少数股东持股比例）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　　贷：提取盈余公积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对所有者（或股东）的分配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未分配利润——年末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3、内部交易的抵销分录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涉及存货的顺流交易：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借：营业收入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贷：营业成本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存货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借：存货——存货跌价准备（报表项目，而不是会计科目）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贷：资产减值损失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借：递延所得税资产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贷：所得税费用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涉及固定资产的：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未发生变卖或报废的内部交易固定资产的抵销：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1．购入固定资产当年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将本期购入固定资产原价中未实现内部销售利润抵销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1）一方销售的商品，另一方购入后作为固定资产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借：营业收入（本期内部固定资产交易产生的收入）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贷：营业成本（本期内部固定资交易产生销售成本）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　固定资产—原价（本期购入固定资产未实现内部利润）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2）一方销售的固定资产，另一方购入后仍作为固定资产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借：资产处置损益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贷：固定资产—原价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3）将本期多提折旧抵销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借：固定资产—累计折旧（本期多提折旧）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2.购入固定资产以后年度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1）将期初固定资产原价中未实现内部销售利润抵销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贷：固定资产—原价（期初固定资产原价中未实现内部销售利润）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2）将期初累计多提折旧抵销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借：固定资产—累计折旧（期初累计多提折旧）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3）将本期多提折旧抵销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借：固定资产—累计折旧（本期多提折旧）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发生变卖或报废情况下内部固定资产交易的抵销：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1）将期初固定资产原价中未实现内部销售利润抵销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借：未分配利润——年初 （原固定资产—原价）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贷：资产处置损益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（期初固定资产原价中未实现内部销售利润）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2）将期初累计多提折旧抵销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借：资产处置损益（原固定资产—累计折旧）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3）将本期多提折旧抵销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借：资产处置损益（原固定资产—累计折旧）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③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涉及无形资产的：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未发生变卖或报废的内部交易无形资产的抵销：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1.将期初无形资产原价中未实现内部销售利润抵销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贷：无形资产—原价（期初无形资产原价中未实现内部销售利润）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2.将期初累计多提摊销抵销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借：无形资产—累计摊销（期初累计多提摊销）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3.将本期购入无形资产原价中未实现内部销售利润抵销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借：资产处置损益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贷：无形资产—原价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4.将本期多提摊销抵销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借：无形资产—累计摊销（本期多提摊销）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发生变卖情况下的内部无形资产交易的抵销：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1.将期初无形资产原价中未实现内部销售利润抵销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贷：资产处置损益（原来是无形资产—原价）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　（期初无形资产原价中未实现内部销售利润）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2.将期初累计多提摊销抵销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借：资产处置损益（期初累计多提摊销）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（原来无形—累计摊销）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　　贷：未分配利润—年初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3.将本期多提摊销抵销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借：资产处置损益（本期多提摊销）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贷：管理费用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④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涉及往来的：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借：应付票据及应付账款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贷：应收票据及应收账款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借：应收票据及应收账款——坏账准备（如果计提了）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贷：信用减值损失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借：所得税费用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贷：递延所得税资产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连续编制时：总体思路：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把涉及损益的，换成未分配利润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借：应付票据及应付账款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贷：应收票据及应收账款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借：应收票据及应收账款——坏账准备（期初的）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借：未分配利润——年初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贷：递延所得税资产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同时：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借：应收票据及应收账款——坏账准备（或相反）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　　贷：信用减值损失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借：所得税费用（或相反） </w:t>
      </w:r>
    </w:p>
    <w:p>
      <w:pPr>
        <w:keepNext w:val="0"/>
        <w:keepLines w:val="0"/>
        <w:widowControl/>
        <w:suppressLineNumbers w:val="0"/>
        <w:ind w:firstLine="40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贷：递延所得税资产 </w:t>
      </w:r>
    </w:p>
    <w:p>
      <w:pPr>
        <w:keepNext w:val="0"/>
        <w:keepLines w:val="0"/>
        <w:widowControl/>
        <w:suppressLineNumbers w:val="0"/>
        <w:ind w:firstLine="40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6610350" cy="4248150"/>
            <wp:effectExtent l="0" t="0" r="0" b="0"/>
            <wp:docPr id="4" name="图片 4" descr="中级会计资料包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级会计资料包配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CD0F"/>
    <w:multiLevelType w:val="singleLevel"/>
    <w:tmpl w:val="02B9CD0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262BE8E"/>
    <w:multiLevelType w:val="singleLevel"/>
    <w:tmpl w:val="2262BE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37C8"/>
    <w:rsid w:val="014E71C0"/>
    <w:rsid w:val="066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2020-05-21T02:37:00Z</dcterms:created>
  <dc:creator>子卿</dc:creator>
  <cp:lastModifiedBy>子卿</cp:lastModifiedBy>
  <dcterms:modified xsi:type="dcterms:W3CDTF">2020-05-21T02:53:19Z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