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36"/>
        </w:tabs>
        <w:jc w:val="left"/>
        <w:rPr>
          <w:rFonts w:hint="eastAsia" w:ascii="微软雅黑" w:hAnsi="微软雅黑" w:eastAsia="微软雅黑" w:cs="微软雅黑"/>
          <w:kern w:val="2"/>
          <w:sz w:val="21"/>
          <w:szCs w:val="21"/>
          <w:lang w:val="en-US" w:eastAsia="zh-CN" w:bidi="ar-SA"/>
        </w:rPr>
      </w:pPr>
    </w:p>
    <w:p>
      <w:pPr>
        <w:tabs>
          <w:tab w:val="left" w:pos="1836"/>
        </w:tabs>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加233网校微信号</w:t>
      </w:r>
      <w:r>
        <w:rPr>
          <w:rFonts w:hint="eastAsia" w:ascii="微软雅黑" w:hAnsi="微软雅黑" w:eastAsia="微软雅黑" w:cs="微软雅黑"/>
          <w:b/>
          <w:bCs/>
          <w:color w:val="FF0000"/>
          <w:kern w:val="2"/>
          <w:sz w:val="21"/>
          <w:szCs w:val="21"/>
          <w:lang w:val="en-US" w:eastAsia="zh-CN" w:bidi="ar-SA"/>
        </w:rPr>
        <w:t>ks233wx16</w:t>
      </w:r>
      <w:r>
        <w:rPr>
          <w:rFonts w:hint="eastAsia" w:ascii="微软雅黑" w:hAnsi="微软雅黑" w:eastAsia="微软雅黑" w:cs="微软雅黑"/>
          <w:kern w:val="2"/>
          <w:sz w:val="21"/>
          <w:szCs w:val="21"/>
          <w:lang w:val="en-US" w:eastAsia="zh-CN" w:bidi="ar-SA"/>
        </w:rPr>
        <w:t>，拉你进监理工程师备考群！</w:t>
      </w:r>
    </w:p>
    <w:p>
      <w:pPr>
        <w:tabs>
          <w:tab w:val="left" w:pos="1836"/>
        </w:tabs>
        <w:jc w:val="left"/>
        <w:rPr>
          <w:rFonts w:hint="eastAsia" w:ascii="微软雅黑" w:hAnsi="微软雅黑" w:eastAsia="微软雅黑" w:cs="微软雅黑"/>
          <w:kern w:val="2"/>
          <w:sz w:val="21"/>
          <w:szCs w:val="21"/>
          <w:lang w:val="en-US" w:eastAsia="zh-CN" w:bidi="ar-SA"/>
        </w:rPr>
      </w:pPr>
    </w:p>
    <w:p>
      <w:pPr>
        <w:pStyle w:val="4"/>
        <w:keepNext w:val="0"/>
        <w:keepLines w:val="0"/>
        <w:widowControl/>
        <w:suppressLineNumbers w:val="0"/>
        <w:spacing w:before="225" w:beforeAutospacing="0" w:after="225" w:afterAutospacing="0"/>
        <w:ind w:left="0" w:right="0" w:firstLine="0"/>
        <w:jc w:val="center"/>
        <w:rPr>
          <w:rFonts w:hint="eastAsia" w:ascii="微软雅黑" w:hAnsi="微软雅黑" w:eastAsia="微软雅黑" w:cs="微软雅黑"/>
          <w:i w:val="0"/>
          <w:caps w:val="0"/>
          <w:color w:val="000000"/>
          <w:spacing w:val="0"/>
          <w:sz w:val="21"/>
          <w:szCs w:val="21"/>
        </w:rPr>
      </w:pPr>
      <w:r>
        <w:rPr>
          <w:rStyle w:val="8"/>
          <w:rFonts w:hint="eastAsia" w:ascii="微软雅黑" w:hAnsi="微软雅黑" w:eastAsia="微软雅黑" w:cs="微软雅黑"/>
          <w:i w:val="0"/>
          <w:caps w:val="0"/>
          <w:color w:val="000000"/>
          <w:spacing w:val="0"/>
          <w:sz w:val="21"/>
          <w:szCs w:val="21"/>
        </w:rPr>
        <w:t>住房和城乡建设部建筑市场监管司</w:t>
      </w:r>
    </w:p>
    <w:p>
      <w:pPr>
        <w:pStyle w:val="4"/>
        <w:keepNext w:val="0"/>
        <w:keepLines w:val="0"/>
        <w:widowControl/>
        <w:suppressLineNumbers w:val="0"/>
        <w:spacing w:before="225" w:beforeAutospacing="0" w:after="225" w:afterAutospacing="0"/>
        <w:ind w:left="0" w:right="0" w:firstLine="0"/>
        <w:jc w:val="center"/>
        <w:rPr>
          <w:rFonts w:hint="eastAsia" w:ascii="微软雅黑" w:hAnsi="微软雅黑" w:eastAsia="微软雅黑" w:cs="微软雅黑"/>
          <w:i w:val="0"/>
          <w:caps w:val="0"/>
          <w:color w:val="000000"/>
          <w:spacing w:val="0"/>
          <w:sz w:val="21"/>
          <w:szCs w:val="21"/>
        </w:rPr>
      </w:pPr>
      <w:r>
        <w:rPr>
          <w:rStyle w:val="8"/>
          <w:rFonts w:hint="eastAsia" w:ascii="微软雅黑" w:hAnsi="微软雅黑" w:eastAsia="微软雅黑" w:cs="微软雅黑"/>
          <w:i w:val="0"/>
          <w:caps w:val="0"/>
          <w:color w:val="000000"/>
          <w:spacing w:val="0"/>
          <w:sz w:val="21"/>
          <w:szCs w:val="21"/>
        </w:rPr>
        <w:t>关于公布全国监理工程师职业资格考试基础科目和土木建筑工程专业科目大纲的通知</w:t>
      </w:r>
    </w:p>
    <w:p>
      <w:pPr>
        <w:pStyle w:val="4"/>
        <w:keepNext w:val="0"/>
        <w:keepLines w:val="0"/>
        <w:widowControl/>
        <w:suppressLineNumbers w:val="0"/>
        <w:spacing w:before="225" w:beforeAutospacing="0" w:after="225" w:afterAutospacing="0"/>
        <w:ind w:left="0" w:right="0" w:firstLine="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建司局函市〔2020〕113</w:t>
      </w:r>
      <w:bookmarkStart w:id="0" w:name="_GoBack"/>
      <w:bookmarkEnd w:id="0"/>
      <w:r>
        <w:rPr>
          <w:rFonts w:hint="eastAsia" w:ascii="微软雅黑" w:hAnsi="微软雅黑" w:eastAsia="微软雅黑" w:cs="微软雅黑"/>
          <w:i w:val="0"/>
          <w:caps w:val="0"/>
          <w:color w:val="000000"/>
          <w:spacing w:val="0"/>
          <w:sz w:val="21"/>
          <w:szCs w:val="21"/>
        </w:rPr>
        <w:t>号</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各省、自治区住房和城乡建设厅、直辖市住房和城乡建设(管)委、新疆生产建设兵团住房和城乡建设局，国务院有关部门工程监理管理机构，各有关单位：</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根据《住房和城乡建设部 交通运输部 水利部 人力资源社会保障部关于印发&lt;监理工程师职业资格制度规定&gt;&lt;监理工程师职业资格考试实施办法&gt;的通知》(建人规〔2020〕3号)，我们会同有关部门编制了《全国监理工程师职业资格考试大纲》，经人力资源社会保障部审定，现向社会公布，并于2020年启用。考试大纲可从住房和城乡建设部官网“政策发布”栏目下载。</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请各地和有关单位按照《全国监理工程师职业资格考试大纲》，配合相关部门做好监理工程师职业资格考试的相关准备工作，确保考试平稳顺利进行。</w:t>
      </w:r>
    </w:p>
    <w:p>
      <w:pPr>
        <w:pStyle w:val="4"/>
        <w:keepNext w:val="0"/>
        <w:keepLines w:val="0"/>
        <w:widowControl/>
        <w:suppressLineNumbers w:val="0"/>
        <w:spacing w:before="225" w:beforeAutospacing="0" w:after="225" w:afterAutospacing="0"/>
        <w:ind w:left="0" w:right="0" w:firstLine="0"/>
        <w:jc w:val="righ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住房和城乡建设部建筑市场监管司</w:t>
      </w:r>
    </w:p>
    <w:p>
      <w:pPr>
        <w:pStyle w:val="4"/>
        <w:keepNext w:val="0"/>
        <w:keepLines w:val="0"/>
        <w:widowControl/>
        <w:suppressLineNumbers w:val="0"/>
        <w:spacing w:before="225" w:beforeAutospacing="0" w:after="225" w:afterAutospacing="0"/>
        <w:ind w:left="0" w:right="0" w:firstLine="0"/>
        <w:jc w:val="righ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2020年5月26日</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(此件主动公开)</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附件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全国监理工程师职业资格考试大纲</w:t>
      </w:r>
    </w:p>
    <w:p>
      <w:pPr>
        <w:pStyle w:val="4"/>
        <w:keepNext w:val="0"/>
        <w:keepLines w:val="0"/>
        <w:widowControl/>
        <w:suppressLineNumbers w:val="0"/>
        <w:spacing w:before="225" w:beforeAutospacing="0" w:after="225" w:afterAutospacing="0"/>
        <w:ind w:left="0" w:right="0" w:firstLine="0"/>
        <w:jc w:val="center"/>
        <w:rPr>
          <w:rFonts w:hint="eastAsia" w:ascii="微软雅黑" w:hAnsi="微软雅黑" w:eastAsia="微软雅黑" w:cs="微软雅黑"/>
          <w:i w:val="0"/>
          <w:caps w:val="0"/>
          <w:color w:val="000000"/>
          <w:spacing w:val="0"/>
          <w:sz w:val="21"/>
          <w:szCs w:val="21"/>
        </w:rPr>
      </w:pPr>
      <w:r>
        <w:rPr>
          <w:rStyle w:val="8"/>
          <w:rFonts w:hint="eastAsia" w:ascii="微软雅黑" w:hAnsi="微软雅黑" w:eastAsia="微软雅黑" w:cs="微软雅黑"/>
          <w:i w:val="0"/>
          <w:caps w:val="0"/>
          <w:color w:val="000000"/>
          <w:spacing w:val="0"/>
          <w:sz w:val="21"/>
          <w:szCs w:val="21"/>
        </w:rPr>
        <w:t>基础科目1：建设工程监理基本理论和相关法规</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Style w:val="8"/>
          <w:rFonts w:hint="eastAsia" w:ascii="微软雅黑" w:hAnsi="微软雅黑" w:eastAsia="微软雅黑" w:cs="微软雅黑"/>
          <w:i w:val="0"/>
          <w:caps w:val="0"/>
          <w:color w:val="000000"/>
          <w:spacing w:val="0"/>
          <w:sz w:val="21"/>
          <w:szCs w:val="21"/>
        </w:rPr>
        <w:t>考试目的</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测查考生掌握建设工程监理基本理论和相关法规的程度，以及理论联系实际的能力。</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Style w:val="8"/>
          <w:rFonts w:hint="eastAsia" w:ascii="微软雅黑" w:hAnsi="微软雅黑" w:eastAsia="微软雅黑" w:cs="微软雅黑"/>
          <w:i w:val="0"/>
          <w:caps w:val="0"/>
          <w:color w:val="000000"/>
          <w:spacing w:val="0"/>
          <w:sz w:val="21"/>
          <w:szCs w:val="21"/>
        </w:rPr>
        <w:t>考试内容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一、建设工程监理制度</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1.建设工程监理的性质</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2.建设工程监理的法律地位和责任</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3.建设工程监理相关制度</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二、工程建设程序及组织实施模式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1.工程建设程序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2.全过程工程咨询</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3.工程总承包</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三、建设工程监理相关法规政策及标准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1.《中华人民共和国建筑法》《中华人民共和国招标投标法》《中华人民共和国合同法》《中华人民共和国安全生产法》相关内容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建设工程质量管理条例》《建设工程安全生产管理条例》《生产安全事故报告和调查处理条例》《中华人民共和国招标投标法实施条例》《必须招标的工程项目规定》《监理工程师职业资格制度规定》《监理工程师职业资格考试实施办法》相关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3.《建设工程监理规范》主要内容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四、工程监理企业与监理工程师</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1.工程监理企业组织形式和经营活动准则</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2.监理工程师资格考试和注册</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3.监理工程师执业和继续教育</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4.监理工程师职业道德</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五、建设工程监理招投标与合同管理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1.建设工程监理招标方式、程序和评标方法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2.建设工程监理投标工作内容和策略</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3.建设工程监理费用计取方法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4.建设工程监理合同管理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六、建设工程监理组织</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1.建设工程监理委托方式、实施程序和原则</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2.项目监理机构及其人员职责</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七、监理规划与监理实施细则</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1.监理规划的编写、主要内容和报审</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2.监理实施细则的编写、主要内容和报审</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八、建设工程监理工作内容和主要方式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1.建设工程监理工作内容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2.建设工程监理主要方式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3.建设工程监理信息化</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九、建设工程监理文件资料管理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1.建设工程监理基本表式及主要文件资料</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2.建设工程监理文件资料管理职责和要求</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十、建设工程项目管理服务</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1.项目管理知识体系</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2.建设工程风险管理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3.建设工程勘察、设计、保修阶段服务内容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4.建设工程监理与项目管理一体化</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5.建设工程项目全过程集成化管理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十一、国际工程咨询与组织实施模式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1.国际工程咨询</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2.国际工程组织实施模式</w:t>
      </w:r>
    </w:p>
    <w:p>
      <w:pPr>
        <w:pStyle w:val="4"/>
        <w:keepNext w:val="0"/>
        <w:keepLines w:val="0"/>
        <w:widowControl/>
        <w:suppressLineNumbers w:val="0"/>
        <w:spacing w:before="225" w:beforeAutospacing="0" w:after="225" w:afterAutospacing="0"/>
        <w:ind w:left="0" w:right="0" w:firstLine="0"/>
        <w:jc w:val="center"/>
        <w:rPr>
          <w:rFonts w:hint="eastAsia" w:ascii="微软雅黑" w:hAnsi="微软雅黑" w:eastAsia="微软雅黑" w:cs="微软雅黑"/>
          <w:i w:val="0"/>
          <w:caps w:val="0"/>
          <w:color w:val="000000"/>
          <w:spacing w:val="0"/>
          <w:sz w:val="21"/>
          <w:szCs w:val="21"/>
        </w:rPr>
      </w:pPr>
      <w:r>
        <w:rPr>
          <w:rStyle w:val="8"/>
          <w:rFonts w:hint="eastAsia" w:ascii="微软雅黑" w:hAnsi="微软雅黑" w:eastAsia="微软雅黑" w:cs="微软雅黑"/>
          <w:i w:val="0"/>
          <w:caps w:val="0"/>
          <w:color w:val="000000"/>
          <w:spacing w:val="0"/>
          <w:sz w:val="21"/>
          <w:szCs w:val="21"/>
        </w:rPr>
        <w:t>基础科目2：建设工程合同管理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Style w:val="8"/>
          <w:rFonts w:hint="eastAsia" w:ascii="微软雅黑" w:hAnsi="微软雅黑" w:eastAsia="微软雅黑" w:cs="微软雅黑"/>
          <w:i w:val="0"/>
          <w:caps w:val="0"/>
          <w:color w:val="000000"/>
          <w:spacing w:val="0"/>
          <w:sz w:val="21"/>
          <w:szCs w:val="21"/>
        </w:rPr>
        <w:t>考试目的</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测查考生掌握建设工程合同管理知识的程度，以及解决合同管理实际问题的能力。</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Style w:val="8"/>
          <w:rFonts w:hint="eastAsia" w:ascii="微软雅黑" w:hAnsi="微软雅黑" w:eastAsia="微软雅黑" w:cs="微软雅黑"/>
          <w:i w:val="0"/>
          <w:caps w:val="0"/>
          <w:color w:val="000000"/>
          <w:spacing w:val="0"/>
          <w:sz w:val="21"/>
          <w:szCs w:val="21"/>
        </w:rPr>
        <w:t>考试内容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一、建设工程合同管理法律制度</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1.合同管理任务和方法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2.合同管理相关法律基础</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3.合同担保</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4.工程保险</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二、建设工程勘察设计招标</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1.工程勘察设计招标特征及方式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2.工程勘察设计招标主要工作内容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3.工程勘察设计开标和评标</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三、建设工程施工招标及工程总承包招标</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1.工程施工招标方式和程序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2.工程施工投标人资格审查</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3.工程施工评标办法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4.工程总承包招标</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四、建设工程材料设备采购招标</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1.材料设备采购招标特点及报价方式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2.材料采购招标</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3.设备采购招标</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五、建设工程勘察设计合同管理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1.工程勘察合同订立和履行管理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2.工程设计合同订立和履行管理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六、建设工程施工合同管理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1.施工合同标准文本</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2.施工合同有关各方管理职责</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3.施工合同订立</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4.施工合同履行管理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七、建设工程总承包合同管理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1.工程总承包合同特点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2.工程总承包合同有关各方管理职责</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3.工程总承包合同订立</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4.工程总承包合同履行管理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八、建设工程材料设备采购合同管理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1.材料设备采购合同特点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2.材料设备采购合同分类</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3.材料采购合同履行管理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4.设备采购合同履行管理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九、国际工程常用合同条件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1.FIDIC施工合同条件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2.FIDIC设计采购施工(EPC)合同条件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3.NEC工程施工合同(ECC)及合作伙伴管理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4.AIA系列合同及CM和IPD合同模式</w:t>
      </w:r>
    </w:p>
    <w:p>
      <w:pPr>
        <w:pStyle w:val="4"/>
        <w:keepNext w:val="0"/>
        <w:keepLines w:val="0"/>
        <w:widowControl/>
        <w:suppressLineNumbers w:val="0"/>
        <w:spacing w:before="225" w:beforeAutospacing="0" w:after="225" w:afterAutospacing="0"/>
        <w:ind w:left="0" w:right="0" w:firstLine="0"/>
        <w:jc w:val="center"/>
        <w:rPr>
          <w:rFonts w:hint="eastAsia" w:ascii="微软雅黑" w:hAnsi="微软雅黑" w:eastAsia="微软雅黑" w:cs="微软雅黑"/>
          <w:i w:val="0"/>
          <w:caps w:val="0"/>
          <w:color w:val="000000"/>
          <w:spacing w:val="0"/>
          <w:sz w:val="21"/>
          <w:szCs w:val="21"/>
        </w:rPr>
      </w:pPr>
      <w:r>
        <w:rPr>
          <w:rStyle w:val="8"/>
          <w:rFonts w:hint="eastAsia" w:ascii="微软雅黑" w:hAnsi="微软雅黑" w:eastAsia="微软雅黑" w:cs="微软雅黑"/>
          <w:i w:val="0"/>
          <w:caps w:val="0"/>
          <w:color w:val="000000"/>
          <w:spacing w:val="0"/>
          <w:sz w:val="21"/>
          <w:szCs w:val="21"/>
        </w:rPr>
        <w:t>土木建筑工程专业科目1：建设工程目标控制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Style w:val="8"/>
          <w:rFonts w:hint="eastAsia" w:ascii="微软雅黑" w:hAnsi="微软雅黑" w:eastAsia="微软雅黑" w:cs="微软雅黑"/>
          <w:i w:val="0"/>
          <w:caps w:val="0"/>
          <w:color w:val="000000"/>
          <w:spacing w:val="0"/>
          <w:sz w:val="21"/>
          <w:szCs w:val="21"/>
        </w:rPr>
        <w:t>考试目的</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测查考生对建设工程质量投资进度三大目标控制知识的掌握程度，以及解决实际问题的能力。</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Style w:val="8"/>
          <w:rFonts w:hint="eastAsia" w:ascii="微软雅黑" w:hAnsi="微软雅黑" w:eastAsia="微软雅黑" w:cs="微软雅黑"/>
          <w:i w:val="0"/>
          <w:caps w:val="0"/>
          <w:color w:val="000000"/>
          <w:spacing w:val="0"/>
          <w:sz w:val="21"/>
          <w:szCs w:val="21"/>
        </w:rPr>
        <w:t>考试内容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一、建设工程质量管理制度和责任体系</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1.工程质量形成过程和影响因素</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2.工程质量控制原则</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3.工程质量管理制度</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4.工程参建各方质量责任和义务</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二、ISO质量管理体系及卓越绩效模式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1.ISO质量管理体系构成和质量管理原则</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2.工程监理单位质量管理体系的建立和实施</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3.卓越绩效模式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三、建设工程质量统计分析和试验检测方法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1.工程质量统计分析方法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2.工程质量主要试验检测方法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四、建设工程勘察设计阶段质量管理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1.工程勘察阶段质量管理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2.初步设计阶段质量管理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3.施工图设计阶段质量管理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五、建设工程施工质量控制和安全生产管理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1.施工质量控制依据和工作程序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2.施工准备阶段质量控制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3.施工过程质量控制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4.安全生产的监理行为和现场控制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5.危险性较大的分部分项工程施工安全管理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六、建设工程施工质量验收和保修</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1.建筑工程施工质量验收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2.城市轨道交通工程施工质量验收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3.工程质量保修管理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七、建设工程质量缺陷及事故处理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1.工程质量缺陷及处理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2.工程质量事故等级划分及处理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八、设备采购和监造质量控制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1.设备采购质量控制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2.设备监造质量控制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九、建设工程投资控制措施和任务</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1.工程项目投资特点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2.投资控制目标和措施</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3.投资控制主要任务</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十、建设工程投资构成</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1.建筑安装工程费用组成和计算</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2.设备、工器具购置费用组成和计算</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3.工程建设其他费用、预备费、建设期利息、铺底流动资金组成和计算</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十一、建设工程项目投融资</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1.项目资本金制度</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2.项目资金筹措渠道和方式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3.资金成本</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4.项目融资特点、程序和主要方式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十二、建设工程决策阶段投资控制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1.可行性研究依据和内容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2.资金时间价值</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3.投资估算</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4.财务和经济分析</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十三、建设工程设计阶段投资控制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1.设计方案评选内容和方法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2.价值工程及其应用</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3.设计概算编制和审查</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4.施工图预算编制和审查</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十四、建设工程施工招标阶段投资控制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1.招标控制价编制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2.投标报价审核</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3.合同计价方式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4.合同价款约定内容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十五、建设工程施工阶段投资控制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1.资金使用计划编制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2.工程计量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3.合同价款调整</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4.工程变更价款确定</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5.索赔类型和索赔费用计算</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6.预付款、安全文明施工费和进度款支付</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7.竣工结算、质量保证金和最终结清</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8.投资偏差分析</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十六、建设工程进度控制计划体系、措施和任务</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1.工程进度影响因素</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2.工程进度目标论证</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3.工程进度计划体系</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4.工程进度计划表示方法和编制程序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5.工程进度控制措施和任务</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十七、流水施工</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1.组织施工方式及特点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2.流水施工参数</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3.固定节拍、成倍节拍流水施工特点及流水施工工期计算方法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4.非节奏流水施工特点、流水步距及流水施工工期计算方法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十八、工程网络计划技术</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1.双代号、单代号网络图绘制规则和绘制方法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2.网络计划时间参数计算</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3.关键线路和关键工作确定</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4.双代号时标网络计划绘制和应用</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5.工程网络计划优化</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6.单代号搭接网络计划和多级网络计划</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十九、建设工程进度计划实施中的监测与调整</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1.实际进度监测与调整系统过程</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2.实际进度与计划进度比较方法(横道图、S曲线、前锋线)</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3.进度计划调整方法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二十、建设工程设计阶段进度控制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1.设计进度影响因素</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2.设计进度监控工作内容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二十一、建设工程施工阶段进度控制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1.施工阶段进度控制目标确定</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2.施工进度计划编制和审查</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3.施工进度控制工作内容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4.施工进度计划调整方法及相应措施</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5.工程延期事件处理程序、原则和方法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6.物资供应计划及编制方法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7.物资供应进度控制工作内容</w:t>
      </w:r>
    </w:p>
    <w:p>
      <w:pPr>
        <w:pStyle w:val="4"/>
        <w:keepNext w:val="0"/>
        <w:keepLines w:val="0"/>
        <w:widowControl/>
        <w:suppressLineNumbers w:val="0"/>
        <w:spacing w:before="225" w:beforeAutospacing="0" w:after="225" w:afterAutospacing="0"/>
        <w:ind w:left="0" w:right="0" w:firstLine="0"/>
        <w:jc w:val="center"/>
        <w:rPr>
          <w:rFonts w:hint="eastAsia" w:ascii="微软雅黑" w:hAnsi="微软雅黑" w:eastAsia="微软雅黑" w:cs="微软雅黑"/>
          <w:i w:val="0"/>
          <w:caps w:val="0"/>
          <w:color w:val="000000"/>
          <w:spacing w:val="0"/>
          <w:sz w:val="21"/>
          <w:szCs w:val="21"/>
        </w:rPr>
      </w:pPr>
      <w:r>
        <w:rPr>
          <w:rStyle w:val="8"/>
          <w:rFonts w:hint="eastAsia" w:ascii="微软雅黑" w:hAnsi="微软雅黑" w:eastAsia="微软雅黑" w:cs="微软雅黑"/>
          <w:i w:val="0"/>
          <w:caps w:val="0"/>
          <w:color w:val="000000"/>
          <w:spacing w:val="0"/>
          <w:sz w:val="21"/>
          <w:szCs w:val="21"/>
        </w:rPr>
        <w:t>土木建筑工程专业科目2：建设工程监理案例分析</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Style w:val="8"/>
          <w:rFonts w:hint="eastAsia" w:ascii="微软雅黑" w:hAnsi="微软雅黑" w:eastAsia="微软雅黑" w:cs="微软雅黑"/>
          <w:i w:val="0"/>
          <w:caps w:val="0"/>
          <w:color w:val="000000"/>
          <w:spacing w:val="0"/>
          <w:sz w:val="21"/>
          <w:szCs w:val="21"/>
        </w:rPr>
        <w:t>考试目的</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测查考生运用建设工程监理基本知识和实践经验，分析解决建设工程监理工作实际问题的综合能力。</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Style w:val="8"/>
          <w:rFonts w:hint="eastAsia" w:ascii="微软雅黑" w:hAnsi="微软雅黑" w:eastAsia="微软雅黑" w:cs="微软雅黑"/>
          <w:i w:val="0"/>
          <w:caps w:val="0"/>
          <w:color w:val="000000"/>
          <w:spacing w:val="0"/>
          <w:sz w:val="21"/>
          <w:szCs w:val="21"/>
        </w:rPr>
        <w:t>考试内容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1.建设工程监理招标和投标</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2.建设工程监理合同管理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3.建设工程监理组织</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4.监理规划和监理实施细则</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5.建设工程目标控制内容和主要方式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6.建设工程安全生产管理的监理工作</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7.建设工程监理文件资料管理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8.建设工程风险管理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9.建设工程施工招标</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10.建设工程施工合同订立</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11.建设工程施工合同履行管理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12.工程变更、索赔管理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13.设备采购合同履行管理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14.工程参建各方质量责任和义务</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15.施工阶段质量控制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16.工程质量缺陷和事故处理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17.工程施工质量验收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18.工程质量试验检测方法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19.工程质量统计分析方法应用</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20.建筑安装工程费用项目组成及计算</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21.合同价款确定和调整</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22.合同价款支付、竣工结算</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23.投资偏差分析</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24.流水施工进度计划</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25.关键线路和关键工作确定</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26.网络计划中时差分析和利用</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27.网络计划工期优化及计划调整</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28.双代号时标网络计划应用</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29.实际进度与计划进度比较方法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30.工程延期时间确定</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31.《中华人民共和国建筑法》《中华人民共和国合同法》《中华人民共和国招标投标法》《建设工程质量管理条例》《建设工程安全生产管理条例》《生产安全事故报告和调查处理条例》《中华人民共和国招标投标法实施条例》《危险性较大的分部分项工程安全管理规定》《建设工程监理规范》《建设工程监理合同(示范文本)》《建设工程施工合同(示范文本)》的应用</w:t>
      </w:r>
    </w:p>
    <w:p>
      <w:pPr>
        <w:tabs>
          <w:tab w:val="left" w:pos="1836"/>
        </w:tabs>
        <w:jc w:val="left"/>
        <w:rPr>
          <w:rFonts w:hint="eastAsia" w:ascii="微软雅黑" w:hAnsi="微软雅黑" w:eastAsia="微软雅黑" w:cs="微软雅黑"/>
          <w:kern w:val="2"/>
          <w:sz w:val="21"/>
          <w:szCs w:val="21"/>
          <w:lang w:val="en-US" w:eastAsia="zh-CN" w:bidi="ar-SA"/>
        </w:rPr>
      </w:pPr>
    </w:p>
    <w:p>
      <w:pPr>
        <w:tabs>
          <w:tab w:val="left" w:pos="1836"/>
        </w:tabs>
        <w:jc w:val="center"/>
        <w:rPr>
          <w:rFonts w:hint="eastAsia" w:ascii="微软雅黑" w:hAnsi="微软雅黑" w:eastAsia="微软雅黑" w:cs="微软雅黑"/>
          <w:b/>
          <w:bCs/>
          <w:color w:val="FF0000"/>
          <w:kern w:val="2"/>
          <w:sz w:val="21"/>
          <w:szCs w:val="21"/>
          <w:lang w:val="en-US" w:eastAsia="zh-CN" w:bidi="ar-SA"/>
        </w:rPr>
      </w:pPr>
      <w:r>
        <w:rPr>
          <w:rFonts w:hint="eastAsia" w:ascii="微软雅黑" w:hAnsi="微软雅黑" w:eastAsia="微软雅黑" w:cs="微软雅黑"/>
          <w:b/>
          <w:bCs/>
          <w:color w:val="FF0000"/>
          <w:kern w:val="2"/>
          <w:sz w:val="21"/>
          <w:szCs w:val="21"/>
          <w:lang w:val="en-US" w:eastAsia="zh-CN" w:bidi="ar-SA"/>
        </w:rPr>
        <w:t>备考监理工程师考试，下载一个APP就够了！下方扫码下载&gt;&gt;</w:t>
      </w:r>
    </w:p>
    <w:p>
      <w:pPr>
        <w:tabs>
          <w:tab w:val="left" w:pos="1836"/>
        </w:tabs>
        <w:jc w:val="left"/>
        <w:rPr>
          <w:rFonts w:hint="eastAsia" w:ascii="微软雅黑" w:hAnsi="微软雅黑" w:eastAsia="微软雅黑" w:cs="微软雅黑"/>
          <w:kern w:val="2"/>
          <w:sz w:val="21"/>
          <w:szCs w:val="21"/>
          <w:lang w:val="en-US" w:eastAsia="zh-CN" w:bidi="ar-SA"/>
        </w:rPr>
      </w:pPr>
    </w:p>
    <w:p>
      <w:pPr>
        <w:tabs>
          <w:tab w:val="left" w:pos="1836"/>
        </w:tabs>
        <w:jc w:val="center"/>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drawing>
          <wp:inline distT="0" distB="0" distL="114300" distR="114300">
            <wp:extent cx="2143125" cy="2152650"/>
            <wp:effectExtent l="0" t="0" r="9525" b="0"/>
            <wp:docPr id="3" name="图片 3" descr="jianli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jianliapp"/>
                    <pic:cNvPicPr>
                      <a:picLocks noChangeAspect="1"/>
                    </pic:cNvPicPr>
                  </pic:nvPicPr>
                  <pic:blipFill>
                    <a:blip r:embed="rId6"/>
                    <a:stretch>
                      <a:fillRect/>
                    </a:stretch>
                  </pic:blipFill>
                  <pic:spPr>
                    <a:xfrm>
                      <a:off x="0" y="0"/>
                      <a:ext cx="2143125" cy="2152650"/>
                    </a:xfrm>
                    <a:prstGeom prst="rect">
                      <a:avLst/>
                    </a:prstGeom>
                  </pic:spPr>
                </pic:pic>
              </a:graphicData>
            </a:graphic>
          </wp:inline>
        </w:drawing>
      </w:r>
    </w:p>
    <w:p>
      <w:pPr>
        <w:tabs>
          <w:tab w:val="left" w:pos="1836"/>
        </w:tabs>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drawing>
          <wp:inline distT="0" distB="0" distL="114300" distR="114300">
            <wp:extent cx="6610350" cy="4248150"/>
            <wp:effectExtent l="0" t="0" r="0" b="0"/>
            <wp:docPr id="2" name="图片 2" descr="模板-监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模板-监理"/>
                    <pic:cNvPicPr>
                      <a:picLocks noChangeAspect="1"/>
                    </pic:cNvPicPr>
                  </pic:nvPicPr>
                  <pic:blipFill>
                    <a:blip r:embed="rId7"/>
                    <a:stretch>
                      <a:fillRect/>
                    </a:stretch>
                  </pic:blipFill>
                  <pic:spPr>
                    <a:xfrm>
                      <a:off x="0" y="0"/>
                      <a:ext cx="6610350" cy="4248150"/>
                    </a:xfrm>
                    <a:prstGeom prst="rect">
                      <a:avLst/>
                    </a:prstGeom>
                  </pic:spPr>
                </pic:pic>
              </a:graphicData>
            </a:graphic>
          </wp:inline>
        </w:drawing>
      </w:r>
    </w:p>
    <w:sectPr>
      <w:headerReference r:id="rId3" w:type="default"/>
      <w:footerReference r:id="rId4" w:type="default"/>
      <w:pgSz w:w="11906" w:h="16838"/>
      <w:pgMar w:top="720" w:right="720" w:bottom="720" w:left="720" w:header="0"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lang w:eastAsia="zh-CN"/>
      </w:rPr>
    </w:pPr>
    <w:r>
      <w:rPr>
        <w:rFonts w:hint="eastAsia" w:eastAsiaTheme="minorEastAsia"/>
        <w:lang w:eastAsia="zh-CN"/>
      </w:rPr>
      <w:drawing>
        <wp:inline distT="0" distB="0" distL="114300" distR="114300">
          <wp:extent cx="6633845" cy="514985"/>
          <wp:effectExtent l="0" t="0" r="14605" b="18415"/>
          <wp:docPr id="10" name="图片 10" descr="组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组 7"/>
                  <pic:cNvPicPr>
                    <a:picLocks noChangeAspect="1"/>
                  </pic:cNvPicPr>
                </pic:nvPicPr>
                <pic:blipFill>
                  <a:blip r:embed="rId1"/>
                  <a:stretch>
                    <a:fillRect/>
                  </a:stretch>
                </pic:blipFill>
                <pic:spPr>
                  <a:xfrm>
                    <a:off x="0" y="0"/>
                    <a:ext cx="6633845" cy="514985"/>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87050"/>
          <wp:effectExtent l="0" t="0" r="0" b="0"/>
          <wp:wrapNone/>
          <wp:docPr id="30" name="WordPictureWatermark171537" descr="组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PictureWatermark171537" descr="组 10"/>
                  <pic:cNvPicPr>
                    <a:picLocks noChangeAspect="1"/>
                  </pic:cNvPicPr>
                </pic:nvPicPr>
                <pic:blipFill>
                  <a:blip r:embed="rId1"/>
                  <a:stretch>
                    <a:fillRect/>
                  </a:stretch>
                </pic:blipFill>
                <pic:spPr>
                  <a:xfrm>
                    <a:off x="0" y="0"/>
                    <a:ext cx="7543800" cy="10687050"/>
                  </a:xfrm>
                  <a:prstGeom prst="rect">
                    <a:avLst/>
                  </a:prstGeom>
                  <a:noFill/>
                  <a:ln>
                    <a:noFill/>
                  </a:ln>
                </pic:spPr>
              </pic:pic>
            </a:graphicData>
          </a:graphic>
        </wp:anchor>
      </w:drawing>
    </w:r>
    <w:r>
      <w:rPr>
        <w:rFonts w:hint="eastAsia"/>
        <w:lang w:eastAsia="zh-CN"/>
      </w:rPr>
      <w:drawing>
        <wp:inline distT="0" distB="0" distL="114300" distR="114300">
          <wp:extent cx="6633845" cy="547370"/>
          <wp:effectExtent l="0" t="0" r="14605" b="5080"/>
          <wp:docPr id="11" name="图片 11" descr="word模板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word模板_03"/>
                  <pic:cNvPicPr>
                    <a:picLocks noChangeAspect="1"/>
                  </pic:cNvPicPr>
                </pic:nvPicPr>
                <pic:blipFill>
                  <a:blip r:embed="rId2"/>
                  <a:stretch>
                    <a:fillRect/>
                  </a:stretch>
                </pic:blipFill>
                <pic:spPr>
                  <a:xfrm>
                    <a:off x="0" y="0"/>
                    <a:ext cx="6633845" cy="5473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D71"/>
    <w:rsid w:val="001F1DC9"/>
    <w:rsid w:val="002623C0"/>
    <w:rsid w:val="00475D71"/>
    <w:rsid w:val="00570C0B"/>
    <w:rsid w:val="0057247C"/>
    <w:rsid w:val="005E5E46"/>
    <w:rsid w:val="00660662"/>
    <w:rsid w:val="009E124F"/>
    <w:rsid w:val="00AC0E6C"/>
    <w:rsid w:val="00B61224"/>
    <w:rsid w:val="00C4772A"/>
    <w:rsid w:val="00C8391E"/>
    <w:rsid w:val="00D2326F"/>
    <w:rsid w:val="02472668"/>
    <w:rsid w:val="02E03395"/>
    <w:rsid w:val="04075E0E"/>
    <w:rsid w:val="056552CE"/>
    <w:rsid w:val="069960B4"/>
    <w:rsid w:val="06DB711D"/>
    <w:rsid w:val="06E15426"/>
    <w:rsid w:val="08EF1030"/>
    <w:rsid w:val="09453B4F"/>
    <w:rsid w:val="09DE2454"/>
    <w:rsid w:val="0B3F230A"/>
    <w:rsid w:val="10813F92"/>
    <w:rsid w:val="11C82A23"/>
    <w:rsid w:val="121B37B6"/>
    <w:rsid w:val="12A143A7"/>
    <w:rsid w:val="12D3633B"/>
    <w:rsid w:val="15966F36"/>
    <w:rsid w:val="172A746E"/>
    <w:rsid w:val="18A61FAF"/>
    <w:rsid w:val="190B36D4"/>
    <w:rsid w:val="194E7C24"/>
    <w:rsid w:val="1AAF21AF"/>
    <w:rsid w:val="1B6A2A61"/>
    <w:rsid w:val="1BD15803"/>
    <w:rsid w:val="1D086326"/>
    <w:rsid w:val="1E1A49A6"/>
    <w:rsid w:val="200B621B"/>
    <w:rsid w:val="205932E3"/>
    <w:rsid w:val="21233D21"/>
    <w:rsid w:val="23DC681E"/>
    <w:rsid w:val="24B97F92"/>
    <w:rsid w:val="25A54C44"/>
    <w:rsid w:val="26163F48"/>
    <w:rsid w:val="265A21BA"/>
    <w:rsid w:val="26C913C0"/>
    <w:rsid w:val="29500DBA"/>
    <w:rsid w:val="2A247B27"/>
    <w:rsid w:val="2A390B99"/>
    <w:rsid w:val="2B8E4CBB"/>
    <w:rsid w:val="2C874CAF"/>
    <w:rsid w:val="2D527660"/>
    <w:rsid w:val="2FD827D5"/>
    <w:rsid w:val="313B3476"/>
    <w:rsid w:val="318D56DF"/>
    <w:rsid w:val="336E1812"/>
    <w:rsid w:val="35E16EEB"/>
    <w:rsid w:val="37970B88"/>
    <w:rsid w:val="386874BC"/>
    <w:rsid w:val="3A3F73C7"/>
    <w:rsid w:val="3CC447EA"/>
    <w:rsid w:val="3D4A4E91"/>
    <w:rsid w:val="3DA756C4"/>
    <w:rsid w:val="3E1205CF"/>
    <w:rsid w:val="3E502379"/>
    <w:rsid w:val="3E7067B3"/>
    <w:rsid w:val="3E8A06C6"/>
    <w:rsid w:val="3FF76F0B"/>
    <w:rsid w:val="43F8029B"/>
    <w:rsid w:val="44F334FA"/>
    <w:rsid w:val="45041362"/>
    <w:rsid w:val="46F25A92"/>
    <w:rsid w:val="4742190C"/>
    <w:rsid w:val="47C038DF"/>
    <w:rsid w:val="499F2B81"/>
    <w:rsid w:val="4A935DAD"/>
    <w:rsid w:val="4AED07EF"/>
    <w:rsid w:val="4EE9153E"/>
    <w:rsid w:val="505521A8"/>
    <w:rsid w:val="51622134"/>
    <w:rsid w:val="53591C25"/>
    <w:rsid w:val="53EA4A21"/>
    <w:rsid w:val="549E4B60"/>
    <w:rsid w:val="554D785E"/>
    <w:rsid w:val="5585309B"/>
    <w:rsid w:val="563D2ACE"/>
    <w:rsid w:val="570C4EEA"/>
    <w:rsid w:val="5920448F"/>
    <w:rsid w:val="5933167B"/>
    <w:rsid w:val="594B20BA"/>
    <w:rsid w:val="5D870924"/>
    <w:rsid w:val="5E7D6585"/>
    <w:rsid w:val="5EF661CC"/>
    <w:rsid w:val="6155576E"/>
    <w:rsid w:val="61C449D5"/>
    <w:rsid w:val="62777E2F"/>
    <w:rsid w:val="63827B90"/>
    <w:rsid w:val="663E1CB1"/>
    <w:rsid w:val="66521EF5"/>
    <w:rsid w:val="667C2E1F"/>
    <w:rsid w:val="669D2C64"/>
    <w:rsid w:val="6810461B"/>
    <w:rsid w:val="6880357F"/>
    <w:rsid w:val="6B87342E"/>
    <w:rsid w:val="6C621BBF"/>
    <w:rsid w:val="6D441994"/>
    <w:rsid w:val="6E932F76"/>
    <w:rsid w:val="6FE2453B"/>
    <w:rsid w:val="74ED5E2E"/>
    <w:rsid w:val="7527475A"/>
    <w:rsid w:val="75BC0D07"/>
    <w:rsid w:val="75D44076"/>
    <w:rsid w:val="76035338"/>
    <w:rsid w:val="77EF42EA"/>
    <w:rsid w:val="78654E7F"/>
    <w:rsid w:val="78E843C2"/>
    <w:rsid w:val="79035D9C"/>
    <w:rsid w:val="7D071B33"/>
    <w:rsid w:val="7D76696A"/>
    <w:rsid w:val="7EE31167"/>
    <w:rsid w:val="7F3D5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5.png"/><Relationship Id="rId6" Type="http://schemas.openxmlformats.org/officeDocument/2006/relationships/image" Target="media/image4.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1</Lines>
  <Paragraphs>1</Paragraphs>
  <TotalTime>1214</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2019-07-11T08:11:00Z</dcterms:created>
  <dc:creator>Administrator</dc:creator>
  <cp:lastModifiedBy>一昔</cp:lastModifiedBy>
  <dcterms:modified xsi:type="dcterms:W3CDTF">2020-05-29T12:31:19Z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