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2021</w:t>
      </w:r>
      <w:bookmarkStart w:id="0" w:name="_GoBack"/>
      <w:bookmarkEnd w:id="0"/>
      <w:r>
        <w:rPr>
          <w:rFonts w:hint="eastAsia"/>
          <w:b/>
          <w:bCs/>
          <w:sz w:val="30"/>
          <w:szCs w:val="30"/>
          <w:lang w:val="en-US" w:eastAsia="zh-CN"/>
        </w:rPr>
        <w:t>年中级社会工作者预习计划表</w:t>
      </w:r>
    </w:p>
    <w:p>
      <w:pPr>
        <w:jc w:val="center"/>
        <w:rPr>
          <w:rFonts w:hint="eastAsia" w:ascii="宋体" w:hAnsi="宋体" w:eastAsia="宋体" w:cs="宋体"/>
          <w:b/>
          <w:bCs/>
          <w:sz w:val="21"/>
          <w:szCs w:val="21"/>
        </w:rPr>
      </w:pPr>
      <w:r>
        <w:rPr>
          <w:rFonts w:hint="eastAsia"/>
          <w:color w:val="0000FF"/>
          <w:sz w:val="28"/>
          <w:szCs w:val="28"/>
          <w:lang w:val="en-US" w:eastAsia="zh-CN"/>
        </w:rPr>
        <w:t>加233网校学霸君微信ks233wx14，拉你进备考群！！</w:t>
      </w:r>
    </w:p>
    <w:p>
      <w:pPr>
        <w:jc w:val="center"/>
        <w:rPr>
          <w:rFonts w:hint="eastAsia" w:ascii="宋体" w:hAnsi="宋体"/>
          <w:b/>
          <w:bCs/>
          <w:color w:val="000000"/>
          <w:sz w:val="30"/>
          <w:szCs w:val="30"/>
          <w:lang w:val="en-US" w:eastAsia="zh-CN"/>
        </w:rPr>
      </w:pPr>
      <w:r>
        <w:rPr>
          <w:rFonts w:hint="eastAsia" w:ascii="宋体" w:hAnsi="宋体"/>
          <w:b/>
          <w:bCs/>
          <w:color w:val="000000"/>
          <w:sz w:val="30"/>
          <w:szCs w:val="30"/>
          <w:lang w:val="en-US" w:eastAsia="zh-CN"/>
        </w:rPr>
        <w:t>2021</w:t>
      </w:r>
      <w:r>
        <w:rPr>
          <w:rFonts w:hint="eastAsia" w:ascii="宋体" w:hAnsi="宋体" w:eastAsia="宋体"/>
          <w:b/>
          <w:bCs/>
          <w:color w:val="000000"/>
          <w:sz w:val="30"/>
          <w:szCs w:val="30"/>
          <w:lang w:eastAsia="zh-CN"/>
        </w:rPr>
        <w:t>《</w:t>
      </w:r>
      <w:r>
        <w:rPr>
          <w:rFonts w:hint="eastAsia" w:ascii="宋体" w:hAnsi="宋体" w:eastAsia="宋体"/>
          <w:b/>
          <w:bCs/>
          <w:color w:val="000000"/>
          <w:sz w:val="30"/>
          <w:szCs w:val="30"/>
        </w:rPr>
        <w:t>社会工作</w:t>
      </w:r>
      <w:r>
        <w:rPr>
          <w:rFonts w:hint="eastAsia" w:ascii="宋体" w:hAnsi="宋体"/>
          <w:b/>
          <w:bCs/>
          <w:color w:val="000000"/>
          <w:sz w:val="30"/>
          <w:szCs w:val="30"/>
          <w:lang w:val="en-US" w:eastAsia="zh-CN"/>
        </w:rPr>
        <w:t>法规与政策</w:t>
      </w:r>
      <w:r>
        <w:rPr>
          <w:rFonts w:hint="eastAsia" w:ascii="宋体" w:hAnsi="宋体" w:eastAsia="宋体"/>
          <w:b/>
          <w:bCs/>
          <w:color w:val="000000"/>
          <w:sz w:val="30"/>
          <w:szCs w:val="30"/>
        </w:rPr>
        <w:t>(</w:t>
      </w:r>
      <w:r>
        <w:rPr>
          <w:rFonts w:hint="eastAsia" w:ascii="宋体" w:hAnsi="宋体"/>
          <w:b/>
          <w:bCs/>
          <w:color w:val="000000"/>
          <w:sz w:val="30"/>
          <w:szCs w:val="30"/>
          <w:lang w:val="en-US" w:eastAsia="zh-CN"/>
        </w:rPr>
        <w:t>中</w:t>
      </w:r>
      <w:r>
        <w:rPr>
          <w:rFonts w:hint="eastAsia" w:ascii="宋体" w:hAnsi="宋体" w:eastAsia="宋体"/>
          <w:b/>
          <w:bCs/>
          <w:color w:val="000000"/>
          <w:sz w:val="30"/>
          <w:szCs w:val="30"/>
        </w:rPr>
        <w:t>级)</w:t>
      </w:r>
      <w:r>
        <w:rPr>
          <w:rFonts w:hint="eastAsia" w:ascii="宋体" w:hAnsi="宋体" w:eastAsia="宋体"/>
          <w:b/>
          <w:bCs/>
          <w:color w:val="000000"/>
          <w:sz w:val="30"/>
          <w:szCs w:val="30"/>
          <w:lang w:eastAsia="zh-CN"/>
        </w:rPr>
        <w:t>》</w:t>
      </w:r>
      <w:r>
        <w:rPr>
          <w:rFonts w:hint="eastAsia" w:ascii="宋体" w:hAnsi="宋体"/>
          <w:b/>
          <w:bCs/>
          <w:color w:val="000000"/>
          <w:sz w:val="30"/>
          <w:szCs w:val="30"/>
          <w:lang w:val="en-US" w:eastAsia="zh-CN"/>
        </w:rPr>
        <w:t>预习计划表</w:t>
      </w:r>
    </w:p>
    <w:tbl>
      <w:tblPr>
        <w:tblStyle w:val="9"/>
        <w:tblW w:w="1042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080"/>
        <w:gridCol w:w="1080"/>
        <w:gridCol w:w="82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497"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日期</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章节</w:t>
            </w:r>
          </w:p>
        </w:tc>
        <w:tc>
          <w:tcPr>
            <w:tcW w:w="82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知识点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第一章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社会工作法规与政策体系、社会工作法规与政策的主要内容、社会工作法规与政策和社会工作实践的关系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1790"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1</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2</w:t>
            </w:r>
            <w:r>
              <w:rPr>
                <w:rFonts w:hint="eastAsia" w:ascii="宋体" w:hAnsi="宋体" w:eastAsia="宋体"/>
                <w:color w:val="000000"/>
                <w:sz w:val="21"/>
                <w:szCs w:val="21"/>
                <w:vertAlign w:val="baseline"/>
              </w:rPr>
              <w:t>分</w:t>
            </w:r>
          </w:p>
          <w:p>
            <w:pPr>
              <w:rPr>
                <w:rFonts w:hint="eastAsia"/>
              </w:rPr>
            </w:pPr>
            <w:r>
              <w:rPr>
                <w:rFonts w:hint="eastAsia"/>
                <w:lang w:eastAsia="zh-CN"/>
              </w:rPr>
              <w:t>第一章和第二章</w:t>
            </w:r>
            <w:r>
              <w:rPr>
                <w:rFonts w:hint="eastAsia"/>
              </w:rPr>
              <w:t>这两章内容在考试中所占比例较低，每年分值在</w:t>
            </w:r>
            <w:r>
              <w:rPr>
                <w:rFonts w:hint="eastAsia"/>
                <w:lang w:val="en-US" w:eastAsia="zh-CN"/>
              </w:rPr>
              <w:t>1</w:t>
            </w:r>
            <w:r>
              <w:t>-</w:t>
            </w:r>
            <w:r>
              <w:rPr>
                <w:rFonts w:hint="eastAsia"/>
                <w:lang w:val="en-US" w:eastAsia="zh-CN"/>
              </w:rPr>
              <w:t>2</w:t>
            </w:r>
            <w:r>
              <w:rPr>
                <w:rFonts w:hint="eastAsia"/>
              </w:rPr>
              <w:t>分左右, 考生不必在这两章下太大的功夫。</w:t>
            </w:r>
          </w:p>
          <w:p>
            <w:pPr>
              <w:rPr>
                <w:rFonts w:hint="eastAsia" w:ascii="宋体" w:hAnsi="宋体" w:eastAsia="宋体" w:cs="宋体"/>
                <w:i w:val="0"/>
                <w:color w:val="000000"/>
                <w:kern w:val="0"/>
                <w:sz w:val="21"/>
                <w:szCs w:val="21"/>
                <w:u w:val="none"/>
                <w:lang w:val="en-US" w:eastAsia="zh-CN" w:bidi="ar"/>
              </w:rPr>
            </w:pPr>
            <w:r>
              <w:rPr>
                <w:rFonts w:hint="eastAsia"/>
                <w:lang w:val="en-US" w:eastAsia="zh-CN"/>
              </w:rPr>
              <w:t>本章</w:t>
            </w:r>
            <w:r>
              <w:rPr>
                <w:rFonts w:hint="eastAsia"/>
              </w:rPr>
              <w:t>重点对国家法律、行政法规、国务院部门规章、地方性法规、地方政府规章的制定主体有所把握。社会政策体系重点关注社会保障政策。历年考试中出现频率比较高的知识点主要是法规的种类、制定主体等。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1月2日</w:t>
            </w:r>
          </w:p>
        </w:tc>
        <w:tc>
          <w:tcPr>
            <w:tcW w:w="108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加强社会工作专业人才队伍建设的法规与政策、社会工作专业人才队伍建设中长期规划、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1月3日</w:t>
            </w:r>
          </w:p>
        </w:tc>
        <w:tc>
          <w:tcPr>
            <w:tcW w:w="1080" w:type="dxa"/>
            <w:vMerge w:val="continue"/>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政府购买社会工作服务的法规与政策、推进民办社会工作服务机构发展的法规与政策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662"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难度:★★分值:</w:t>
            </w:r>
            <w:r>
              <w:rPr>
                <w:rFonts w:hint="eastAsia" w:ascii="宋体" w:hAnsi="宋体"/>
                <w:color w:val="000000"/>
                <w:sz w:val="21"/>
                <w:szCs w:val="21"/>
                <w:vertAlign w:val="baseline"/>
                <w:lang w:val="en-US" w:eastAsia="zh-CN"/>
              </w:rPr>
              <w:t>2</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4</w:t>
            </w:r>
            <w:r>
              <w:rPr>
                <w:rFonts w:hint="eastAsia" w:ascii="宋体" w:hAnsi="宋体" w:eastAsia="宋体"/>
                <w:color w:val="000000"/>
                <w:sz w:val="21"/>
                <w:szCs w:val="21"/>
                <w:vertAlign w:val="baseline"/>
              </w:rPr>
              <w:t>分</w:t>
            </w:r>
          </w:p>
          <w:p>
            <w:pPr>
              <w:rPr>
                <w:rFonts w:hint="eastAsia" w:ascii="宋体" w:hAnsi="宋体" w:eastAsia="宋体" w:cs="宋体"/>
                <w:i w:val="0"/>
                <w:color w:val="000000"/>
                <w:kern w:val="0"/>
                <w:sz w:val="21"/>
                <w:szCs w:val="21"/>
                <w:u w:val="none"/>
                <w:lang w:val="en-US" w:eastAsia="zh-CN" w:bidi="ar"/>
              </w:rPr>
            </w:pPr>
            <w:r>
              <w:rPr>
                <w:rFonts w:hint="eastAsia"/>
                <w:lang w:val="en-US" w:eastAsia="zh-CN"/>
              </w:rPr>
              <w:t>从历年考试来看，本章分值占比较小，本章</w:t>
            </w:r>
            <w:r>
              <w:rPr>
                <w:rFonts w:hint="eastAsia"/>
              </w:rPr>
              <w:t>主要关注《关于加强社会工作专业人才队伍建设的意见》和《社会工作专业人才队伍建设中长期规划</w:t>
            </w:r>
            <w:r>
              <w:t>(2011</w:t>
            </w:r>
            <w:r>
              <w:rPr>
                <w:rFonts w:hint="eastAsia"/>
              </w:rPr>
              <w:t>—2020 年)》，对政府购买社会工作服务、推进民办社会工作服务机构建设要有了解， 尤其需要关注政府购买社会工作服务的主体、对象、范围、程序及监督管理的内容。</w:t>
            </w:r>
            <w:r>
              <w:rPr>
                <w:rFonts w:hint="eastAsia"/>
                <w:lang w:val="en-US" w:eastAsia="zh-CN"/>
              </w:rPr>
              <w:t>考</w:t>
            </w:r>
            <w:r>
              <w:rPr>
                <w:rFonts w:hint="eastAsia"/>
              </w:rPr>
              <w:t>生一定要精读教材和相关政策文件，理解并熟记社会工作专业人才队伍建设具体措施。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1月4日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第三章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社会救助法规与政策的一般规定、最低生活保障及特困救助法规与政策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1月5日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受灾人员救助法规与政策、医疗救助法规与政策、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1月6日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教育救助法规与政策、住房救助法规与政策、就业救助法规与政策、临时救助法规与政策、法律援助与国家司法救助法规与政策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910"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11</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18</w:t>
            </w:r>
            <w:r>
              <w:rPr>
                <w:rFonts w:hint="eastAsia" w:ascii="宋体" w:hAnsi="宋体" w:eastAsia="宋体"/>
                <w:color w:val="000000"/>
                <w:sz w:val="21"/>
                <w:szCs w:val="21"/>
                <w:vertAlign w:val="baseline"/>
              </w:rPr>
              <w:t>分</w:t>
            </w:r>
          </w:p>
          <w:p>
            <w:pPr>
              <w:rPr>
                <w:rFonts w:hint="eastAsia" w:ascii="宋体" w:hAnsi="宋体" w:eastAsia="宋体" w:cs="宋体"/>
                <w:i w:val="0"/>
                <w:color w:val="000000"/>
                <w:kern w:val="0"/>
                <w:sz w:val="21"/>
                <w:szCs w:val="21"/>
                <w:u w:val="none"/>
                <w:lang w:val="en-US" w:eastAsia="zh-CN" w:bidi="ar"/>
              </w:rPr>
            </w:pPr>
            <w:r>
              <w:rPr>
                <w:rFonts w:hint="eastAsia"/>
              </w:rPr>
              <w:t>我国社会救助法规与政策是重点章节，历年考试分值都在1</w:t>
            </w:r>
            <w:r>
              <w:rPr>
                <w:rFonts w:hint="eastAsia"/>
                <w:lang w:val="en-US" w:eastAsia="zh-CN"/>
              </w:rPr>
              <w:t>5</w:t>
            </w:r>
            <w:r>
              <w:rPr>
                <w:rFonts w:hint="eastAsia"/>
              </w:rPr>
              <w:t>分以上，且考点分散在每一节。考生需要对相关内容深入理解和把握。本章需要考生重点熟悉社会力量参与社会救助的规定及各类社会救助的申请条件、申请程序、救助方式及具体落实等内容，其中最低生活保障法规与政策又是重中之重，每年考试都会出题，考生需高度关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1月7日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第四章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老年人权益的主要内容、老年人权益保障的法律责任、妇女权益的主要内容、妇女权益保护的法律责任、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1月8日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未成年人权益保护的法规与政策、残疾人权益的主要内容、残疾人权益保障的法律责任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850"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5</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8</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主要是介绍老年人、妇女、未成年人及残疾人等特殊人群的权益保护的法规与政策。在社会工作专业服务过程中主要使用到的重点法规，在往年试卷中所占分值较大。这部分很多内容涉及平时的生活常识，如果平时工作生活中注意理解，则本章难度不大。本章重点理解、掌握各类人群合法权益的主要内容及其具体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1月9日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第五章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婚姻缔结的法律规定、家庭成员间的权利和义务、婚姻解除的条件、程序与法律后果、收养关系法规与政策、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1月10日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继承的种类及法律关系、继承权的丧失、接受和放弃、法定继承、遗嘱继承、遗赠和遗赠扶养协议、遗产的处理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6</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10</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婚姻家庭领域是社会工作的主要服务领域。掌握婚姻家庭相关法规政策。在历年考试中，每个考点都出过考题，而且分值比重较大，每年分值都在10分左右。本章考点包括婚姻家庭关系法规与政策、收养关系法规与政策、财产继承法规与政策。重点在收养、家庭财产、遗产等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1月11日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第六章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人民调解的原则，当事人在调解中的权利和义务，人民调解的程序，调解协议的内容、效力及确认，信访工作的机构和渠道，信访事项的提出、受理、办理和督办，信访的法律责任，信访制度改革、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1月12日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突发事件的分级，突发事件应急管理体制与原则，突发事件应对的过程与方法，突发事件应对的法律责任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865"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3</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5</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主要介绍我国人民调解、信访工作和突发事件应对等制度内容。在往年试卷中，人民调解、信访工作相关法规与政策的内容都出过考题。本章重点是要掌握并理解人民调解的原则、当事人在调解中的权利和义务、信访体制改革措施以及突发事件应对的措施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1月13日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第七章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总则，决定和接收，监督管理，未成年人社区矫正特别规定，禁毒总论，毒品管制，吸毒成瘾认定及其检测程序规定，戒毒措施，禁毒的法律责任，禁毒社会工作者队伍建设、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1月14日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治安管理处罚的种类和适用，治安管理处罚程序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5</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7</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rPr>
              <w:t>本章主要介绍社区矫正、禁毒和治安管理法规与政策的相关制度和具体内容。社区矫正和禁毒法规与政策在往年试卷中都出过考题。重点掌握社区矫正体制机制及实施过程、具体措施和问题的处理，禁毒体制、毒品管制措施和戒毒措施，治安管理处罚种类及适用规则和程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1月15日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第八章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烈士评定，烈士褒扬金和烈士遗属抚恤优待，抚恤优待对象的认定，死亡抚恤的具体规定，残疾抚恤的具体规定，优待的具体内容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1月16日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退役士兵安置基本原则，退役士兵移交和接收，退役士兵安置主要方式，军队干部离休、退休的条件和待遇，军队干部退休安置办法，军休干部服务管理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598"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难度:★★★分值:</w:t>
            </w:r>
            <w:r>
              <w:rPr>
                <w:rFonts w:hint="eastAsia" w:ascii="宋体" w:hAnsi="宋体"/>
                <w:color w:val="000000"/>
                <w:sz w:val="21"/>
                <w:szCs w:val="21"/>
                <w:vertAlign w:val="baseline"/>
                <w:lang w:val="en-US" w:eastAsia="zh-CN"/>
              </w:rPr>
              <w:t>7</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9</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我国烈士褒扬与优抚安置法规与政策相对来说比较重要，涉及数字多，容易出计算题，考生应对涉及到褒扬金、抚恤金等的算法非常清楚，不要混淆。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1月17日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第九章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委员会的性质、组织设置和主要职能，居民自治的基本内容，居民委员会与基础人民政府以及相关组织的关系，村民委员会的性质、结构和主要职能，村民委员会选举，村民(代表)会议和民主管理、民主监督，村民委员会与政府组织以及相关组织的关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1月18日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城市社区建设法规与政策、农村社区建设试点工作、城乡社区治理、城乡社区服务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1805"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5</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7</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olor w:val="000000"/>
                <w:sz w:val="21"/>
                <w:szCs w:val="21"/>
                <w:vertAlign w:val="baseline"/>
              </w:rPr>
              <w:t>本章考点分布较细，内容不多，但在历年考试中，都占一定分值比例，而且往年考试试题出题方式较灵活。</w:t>
            </w:r>
            <w:r>
              <w:rPr>
                <w:rFonts w:hint="eastAsia" w:ascii="宋体" w:hAnsi="宋体" w:eastAsia="宋体" w:cs="宋体"/>
                <w:i w:val="0"/>
                <w:color w:val="000000"/>
                <w:kern w:val="0"/>
                <w:sz w:val="21"/>
                <w:szCs w:val="21"/>
                <w:u w:val="none"/>
                <w:lang w:val="en-US" w:eastAsia="zh-CN" w:bidi="ar"/>
              </w:rPr>
              <w:t>本章难点在于居委会居民会议的召开和村委会选举村民（小组）会议等内容， 因为涉及很多比例数字，比较难记忆，建议考生对这部分内容仔细复习和记忆，不要混淆各种比例数字。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1月19日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第十章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公益事业和慈善事业的界定及公益慈善组织的分类、公益慈善事业募捐与捐赠的规定、公益慈善信托的规定、彩票管理的规定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1月20日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志愿服务的界定与特征，志愿服务中的权利与义务，志愿服务活动管理的规定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865"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难度:★★★分值:</w:t>
            </w:r>
            <w:r>
              <w:rPr>
                <w:rFonts w:hint="eastAsia" w:ascii="宋体" w:hAnsi="宋体"/>
                <w:color w:val="000000"/>
                <w:sz w:val="21"/>
                <w:szCs w:val="21"/>
                <w:vertAlign w:val="baseline"/>
                <w:lang w:val="en-US" w:eastAsia="zh-CN"/>
              </w:rPr>
              <w:t>4</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8</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的内容及考点分布较少，但随着近两年《中华人民共和国慈善法》和《志愿服务条例》的出台，考生还是要重视。在复习过程中，重点复习公益事业捐赠的规定、救灾捐赠管理的规定，历年考题相对集中。同时还要重点掌握对公益事业捐赠人和受赠人的权利和义务、捐赠财产的使用和管理、对捐赠人的优惠措施等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1月21日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第十一章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社会团体成立登记，社会团体的管理，社会团体的终止，行业协会商会与行政机关脱钩的政策,民办非企业单位成立登记，民办非企业单位的管理，民办非企业单位的终止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1月22日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基金会的设立，基金会的治理结构，基金会的管理，基金会的终止，社区社会组织的发展重点、社区社会组织的培育措施、增强社区社会组织的服务功能、对社区社会组织的管理服务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805"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 xml:space="preserve">难度:★★★分值: </w:t>
            </w:r>
            <w:r>
              <w:rPr>
                <w:rFonts w:hint="eastAsia" w:ascii="宋体" w:hAnsi="宋体"/>
                <w:color w:val="000000"/>
                <w:sz w:val="21"/>
                <w:szCs w:val="21"/>
                <w:vertAlign w:val="baseline"/>
                <w:lang w:val="en-US" w:eastAsia="zh-CN"/>
              </w:rPr>
              <w:t>5</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9</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我国社会组织法规与政策这章的考点包括社会团体管理、社会服务机构管理、基金会管理、社区社会组织管理。这四类社会组织有一定的关联性，尤其是关于登记管理等内容，可以联系起来一起记忆，但也要区分它们的不同点，注意涉及金额和比例的数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1月23日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第十二章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促进就业的原则及政策支持，就业服务与就业援助，劳动合同的订立，劳动合同的履行和变更，劳动合同的解除和终止，集体合同、劳务派遣和非全日制用工的规定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1月24日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工资分配、支付与最低工资保障制度，工作时间和休息休假的规定，劳动保护的规定，职业培训的规定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1月25日</w:t>
            </w:r>
          </w:p>
        </w:tc>
        <w:tc>
          <w:tcPr>
            <w:tcW w:w="1080"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劳动保障监察的规定，劳动争议处理的规定，集体合同制度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598"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难度:★★★★分值:</w:t>
            </w:r>
            <w:r>
              <w:rPr>
                <w:rFonts w:hint="eastAsia" w:ascii="宋体" w:hAnsi="宋体"/>
                <w:color w:val="000000"/>
                <w:sz w:val="21"/>
                <w:szCs w:val="21"/>
                <w:vertAlign w:val="baseline"/>
                <w:lang w:val="en-US" w:eastAsia="zh-CN"/>
              </w:rPr>
              <w:t>13</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15</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本章贯穿了我国劳动就业的主要法规与政策，是很重要的一章，本章内容较多，考点分布较广，在往年考试中所占分值比例较大，值得特别关注，需要考生认真复习。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1月26日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第十三章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促进健康服务业发展的总体政策框架、开展居民健康素养提升行动、2020年的卫生与健康事业发展目标、公共卫生体系建设，疾病预防体制建设，突发公共卫生事件的应对机制建设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1月27日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城市医疗服务体制建设，农村医疗服务体制建设、社区卫生服务机构需要具备的条件，社区卫生服务机构的服务对象，社区卫生服务机构的服务内容，社区卫生服务的筹资与补偿机制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1月28日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食品安全法规与政策、流动人口计划生育的管理办法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1376"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难度:★★★分值:</w:t>
            </w:r>
            <w:r>
              <w:rPr>
                <w:rFonts w:hint="eastAsia" w:ascii="宋体" w:hAnsi="宋体"/>
                <w:color w:val="000000"/>
                <w:sz w:val="21"/>
                <w:szCs w:val="21"/>
                <w:vertAlign w:val="baseline"/>
                <w:lang w:val="en-US" w:eastAsia="zh-CN"/>
              </w:rPr>
              <w:t>3</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9</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我国健康与计划生育法规与政策一章在考试中占的比例较小，出题主要集中在一些时间、比例的考核方面。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1月29日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第十四章</w:t>
            </w: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城镇职工基本养老保险制度的法规与政策，城乡居民基本养老保险制度的法规与政策，基本医疗保险制度的法规与政策，生育保险制度的法规与政策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1月30日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失业保险制度的法规与政策，工伤保险制度的法规与政策，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Ex>
        <w:trPr>
          <w:trHeight w:val="286"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1月31日</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1"/>
                <w:szCs w:val="21"/>
                <w:u w:val="none"/>
              </w:rPr>
            </w:pPr>
          </w:p>
        </w:tc>
        <w:tc>
          <w:tcPr>
            <w:tcW w:w="826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社会保险基金与征缴，社会保险经办与监督、军人保险的主要内容，军人保险的管理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412" w:hRule="atLeast"/>
        </w:trPr>
        <w:tc>
          <w:tcPr>
            <w:tcW w:w="10425" w:type="dxa"/>
            <w:gridSpan w:val="3"/>
            <w:tcBorders>
              <w:tl2br w:val="nil"/>
              <w:tr2bl w:val="nil"/>
            </w:tcBorders>
            <w:shd w:val="clear" w:color="auto" w:fill="auto"/>
            <w:vAlign w:val="center"/>
          </w:tcPr>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本章考情分析及建议</w:t>
            </w:r>
          </w:p>
          <w:p>
            <w:pPr>
              <w:rPr>
                <w:rFonts w:hint="eastAsia" w:ascii="宋体" w:hAnsi="宋体" w:eastAsia="宋体"/>
                <w:color w:val="000000"/>
                <w:sz w:val="21"/>
                <w:szCs w:val="21"/>
                <w:vertAlign w:val="baseline"/>
              </w:rPr>
            </w:pPr>
            <w:r>
              <w:rPr>
                <w:rFonts w:hint="eastAsia" w:ascii="宋体" w:hAnsi="宋体" w:eastAsia="宋体"/>
                <w:color w:val="000000"/>
                <w:sz w:val="21"/>
                <w:szCs w:val="21"/>
                <w:vertAlign w:val="baseline"/>
              </w:rPr>
              <w:t>难度:★★★★分值:</w:t>
            </w:r>
            <w:r>
              <w:rPr>
                <w:rFonts w:hint="eastAsia" w:ascii="宋体" w:hAnsi="宋体"/>
                <w:color w:val="000000"/>
                <w:sz w:val="21"/>
                <w:szCs w:val="21"/>
                <w:vertAlign w:val="baseline"/>
                <w:lang w:val="en-US" w:eastAsia="zh-CN"/>
              </w:rPr>
              <w:t>13</w:t>
            </w:r>
            <w:r>
              <w:rPr>
                <w:rFonts w:hint="eastAsia" w:ascii="宋体" w:hAnsi="宋体" w:eastAsia="宋体"/>
                <w:color w:val="000000"/>
                <w:sz w:val="21"/>
                <w:szCs w:val="21"/>
                <w:vertAlign w:val="baseline"/>
              </w:rPr>
              <w:t>-</w:t>
            </w:r>
            <w:r>
              <w:rPr>
                <w:rFonts w:hint="eastAsia" w:ascii="宋体" w:hAnsi="宋体"/>
                <w:color w:val="000000"/>
                <w:sz w:val="21"/>
                <w:szCs w:val="21"/>
                <w:vertAlign w:val="baseline"/>
                <w:lang w:val="en-US" w:eastAsia="zh-CN"/>
              </w:rPr>
              <w:t>16</w:t>
            </w:r>
            <w:r>
              <w:rPr>
                <w:rFonts w:hint="eastAsia" w:ascii="宋体" w:hAnsi="宋体" w:eastAsia="宋体"/>
                <w:color w:val="000000"/>
                <w:sz w:val="21"/>
                <w:szCs w:val="21"/>
                <w:vertAlign w:val="baseline"/>
              </w:rPr>
              <w:t>分</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我国社会保险法规与政策也是比较重要的章节。五险（养老、医疗、生育、工伤、失业）几乎是必考的内容， 因此考生要熟练掌握各类保险的分类、参保对象、制度模式、缴费比例、支付方式、相关待遇等内容。社会保险基金的征缴及使用、军人保险的主要内容。考生需要密切关注最新法规的出台和解释，仔细研读各个法规的内容，做到熟能生巧，并结合具体案例进行掌握和理解。</w:t>
            </w:r>
          </w:p>
        </w:tc>
      </w:tr>
    </w:tbl>
    <w:p>
      <w:pPr>
        <w:jc w:val="center"/>
        <w:rPr>
          <w:rFonts w:hint="eastAsia" w:ascii="宋体" w:hAnsi="宋体"/>
          <w:b/>
          <w:bCs/>
          <w:color w:val="000000"/>
          <w:sz w:val="30"/>
          <w:szCs w:val="30"/>
          <w:lang w:val="en-US" w:eastAsia="zh-CN"/>
        </w:rPr>
      </w:pPr>
    </w:p>
    <w:p>
      <w:pPr>
        <w:jc w:val="left"/>
        <w:rPr>
          <w:rFonts w:hint="eastAsia"/>
          <w:b/>
          <w:bCs/>
        </w:rPr>
      </w:pPr>
      <w:r>
        <w:rPr>
          <w:rFonts w:hint="eastAsia"/>
          <w:b/>
          <w:bCs/>
        </w:rPr>
        <w:t>预习阶段时间安排：</w:t>
      </w:r>
    </w:p>
    <w:p>
      <w:pPr>
        <w:numPr>
          <w:ilvl w:val="0"/>
          <w:numId w:val="1"/>
        </w:numPr>
        <w:jc w:val="left"/>
        <w:rPr>
          <w:rFonts w:hint="eastAsia"/>
        </w:rPr>
      </w:pPr>
      <w:r>
        <w:rPr>
          <w:rFonts w:hint="eastAsia"/>
        </w:rPr>
        <w:t>本预习计划表历时共计</w:t>
      </w:r>
      <w:r>
        <w:rPr>
          <w:rFonts w:hint="eastAsia"/>
          <w:lang w:val="en-US" w:eastAsia="zh-CN"/>
        </w:rPr>
        <w:t>1</w:t>
      </w:r>
      <w:r>
        <w:rPr>
          <w:rFonts w:hint="eastAsia"/>
        </w:rPr>
        <w:t>个月,学员根据本表的提示，结合自己的工作、学习情况进行细化。</w:t>
      </w:r>
    </w:p>
    <w:p>
      <w:pPr>
        <w:numPr>
          <w:ilvl w:val="0"/>
          <w:numId w:val="1"/>
        </w:numPr>
        <w:ind w:left="0" w:leftChars="0" w:firstLine="0" w:firstLineChars="0"/>
        <w:jc w:val="left"/>
        <w:rPr>
          <w:rFonts w:hint="eastAsia"/>
        </w:rPr>
      </w:pPr>
      <w:r>
        <w:rPr>
          <w:rFonts w:hint="eastAsia"/>
        </w:rPr>
        <w:t>每天学习时长1小时，各位考生一定要尽力克服困难，拒绝拖延。越早准备最终通关几率也就越大。</w:t>
      </w:r>
    </w:p>
    <w:p>
      <w:pPr>
        <w:numPr>
          <w:ilvl w:val="0"/>
          <w:numId w:val="0"/>
        </w:numPr>
        <w:ind w:leftChars="0"/>
        <w:jc w:val="left"/>
        <w:rPr>
          <w:rFonts w:hint="eastAsia"/>
          <w:b/>
          <w:bCs/>
        </w:rPr>
      </w:pPr>
      <w:r>
        <w:rPr>
          <w:rFonts w:hint="eastAsia"/>
          <w:b/>
          <w:bCs/>
        </w:rPr>
        <w:t>预习阶段学习建议：</w:t>
      </w:r>
    </w:p>
    <w:p>
      <w:pPr>
        <w:numPr>
          <w:ilvl w:val="0"/>
          <w:numId w:val="2"/>
        </w:numPr>
        <w:ind w:leftChars="0"/>
        <w:jc w:val="left"/>
        <w:rPr>
          <w:rFonts w:hint="eastAsia"/>
        </w:rPr>
      </w:pPr>
      <w:r>
        <w:rPr>
          <w:rFonts w:hint="eastAsia"/>
        </w:rPr>
        <w:t>预习阶段的学习主要以2020年考试教材为根本，熟悉教材内容，了解核心考点、熟悉知识框架。待到2021新教材下发，再依据教材变动及时进行调整。</w:t>
      </w:r>
    </w:p>
    <w:p>
      <w:pPr>
        <w:numPr>
          <w:ilvl w:val="0"/>
          <w:numId w:val="2"/>
        </w:numPr>
        <w:ind w:left="0" w:leftChars="0" w:firstLine="0" w:firstLineChars="0"/>
        <w:jc w:val="left"/>
        <w:rPr>
          <w:rFonts w:hint="eastAsia"/>
        </w:rPr>
      </w:pPr>
      <w:r>
        <w:rPr>
          <w:rFonts w:hint="eastAsia"/>
        </w:rPr>
        <w:t>预习过程中，分章学习效果更佳。在章节学习过程中，可以分知识点进行学习。</w:t>
      </w:r>
    </w:p>
    <w:p>
      <w:pPr>
        <w:numPr>
          <w:ilvl w:val="0"/>
          <w:numId w:val="2"/>
        </w:numPr>
        <w:ind w:left="0" w:leftChars="0" w:firstLine="0" w:firstLineChars="0"/>
        <w:jc w:val="left"/>
        <w:rPr>
          <w:rFonts w:hint="eastAsia"/>
        </w:rPr>
      </w:pPr>
      <w:r>
        <w:rPr>
          <w:rFonts w:hint="eastAsia"/>
        </w:rPr>
        <w:t>预习过程中，将自己在学习过程中遇到的重难点进行标记，为新教材下发后的学习做铺垫。</w:t>
      </w:r>
    </w:p>
    <w:p>
      <w:pPr>
        <w:numPr>
          <w:ilvl w:val="0"/>
          <w:numId w:val="2"/>
        </w:numPr>
        <w:ind w:left="0" w:leftChars="0" w:firstLine="0" w:firstLineChars="0"/>
        <w:jc w:val="left"/>
        <w:rPr>
          <w:rFonts w:hint="eastAsia"/>
        </w:rPr>
      </w:pPr>
      <w:r>
        <w:rPr>
          <w:rFonts w:hint="eastAsia"/>
        </w:rPr>
        <w:t>学完每一章每一节的知识点后，需要通过试题练习来巩固每章每节的知识点。</w:t>
      </w:r>
    </w:p>
    <w:p>
      <w:pPr>
        <w:numPr>
          <w:ilvl w:val="0"/>
          <w:numId w:val="0"/>
        </w:numPr>
        <w:ind w:leftChars="0"/>
        <w:jc w:val="left"/>
        <w:rPr>
          <w:rFonts w:hint="eastAsia"/>
        </w:rPr>
      </w:pPr>
      <w:r>
        <w:rPr>
          <w:rFonts w:hint="eastAsia"/>
        </w:rPr>
        <w:t>5、已报2021年社会工作者辅导课程的考生应按网校要求完成听课、做题的学习任务。</w:t>
      </w:r>
    </w:p>
    <w:p>
      <w:pPr>
        <w:jc w:val="center"/>
        <w:rPr>
          <w:rFonts w:hint="eastAsia" w:eastAsia="宋体"/>
          <w:lang w:eastAsia="zh-CN"/>
        </w:rPr>
      </w:pPr>
      <w:r>
        <w:drawing>
          <wp:inline distT="0" distB="0" distL="114300" distR="114300">
            <wp:extent cx="3295015" cy="3361690"/>
            <wp:effectExtent l="0" t="0" r="635"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3295015" cy="3361690"/>
                    </a:xfrm>
                    <a:prstGeom prst="rect">
                      <a:avLst/>
                    </a:prstGeom>
                    <a:noFill/>
                    <a:ln w="9525">
                      <a:noFill/>
                    </a:ln>
                  </pic:spPr>
                </pic:pic>
              </a:graphicData>
            </a:graphic>
          </wp:inline>
        </w:drawing>
      </w:r>
    </w:p>
    <w:p>
      <w:pPr>
        <w:jc w:val="center"/>
        <w:rPr>
          <w:rFonts w:hint="eastAsia" w:eastAsia="宋体"/>
          <w:lang w:eastAsia="zh-CN"/>
        </w:rPr>
      </w:pP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3825875" cy="3467100"/>
            <wp:effectExtent l="0" t="0" r="3175" b="0"/>
            <wp:docPr id="5" name="图片 5" descr="社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社工"/>
                    <pic:cNvPicPr>
                      <a:picLocks noChangeAspect="1"/>
                    </pic:cNvPicPr>
                  </pic:nvPicPr>
                  <pic:blipFill>
                    <a:blip r:embed="rId7"/>
                    <a:stretch>
                      <a:fillRect/>
                    </a:stretch>
                  </pic:blipFill>
                  <pic:spPr>
                    <a:xfrm>
                      <a:off x="0" y="0"/>
                      <a:ext cx="3825875" cy="3467100"/>
                    </a:xfrm>
                    <a:prstGeom prst="rect">
                      <a:avLst/>
                    </a:prstGeom>
                  </pic:spPr>
                </pic:pic>
              </a:graphicData>
            </a:graphic>
          </wp:inline>
        </w:drawing>
      </w:r>
    </w:p>
    <w:p>
      <w:pPr>
        <w:rPr>
          <w:rFonts w:hint="eastAsia"/>
        </w:rPr>
      </w:pPr>
    </w:p>
    <w:sectPr>
      <w:headerReference r:id="rId3" w:type="default"/>
      <w:footerReference r:id="rId4" w:type="default"/>
      <w:pgSz w:w="11906" w:h="16838"/>
      <w:pgMar w:top="720" w:right="720" w:bottom="720" w:left="720" w:header="0" w:footer="34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6633845" cy="514985"/>
          <wp:effectExtent l="0" t="0" r="0" b="0"/>
          <wp:docPr id="3"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组 7"/>
                  <pic:cNvPicPr>
                    <a:picLocks noChangeAspect="1"/>
                  </pic:cNvPicPr>
                </pic:nvPicPr>
                <pic:blipFill>
                  <a:blip r:embed="rId1"/>
                  <a:stretch>
                    <a:fillRect/>
                  </a:stretch>
                </pic:blipFill>
                <pic:spPr>
                  <a:xfrm>
                    <a:off x="0" y="0"/>
                    <a:ext cx="6633845" cy="5149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1"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0" b="0"/>
          <wp:docPr id="2"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word模板_03"/>
                  <pic:cNvPicPr>
                    <a:picLocks noChangeAspect="1"/>
                  </pic:cNvPicPr>
                </pic:nvPicPr>
                <pic:blipFill>
                  <a:blip r:embed="rId2"/>
                  <a:stretch>
                    <a:fillRect/>
                  </a:stretch>
                </pic:blipFill>
                <pic:spPr>
                  <a:xfrm>
                    <a:off x="0" y="0"/>
                    <a:ext cx="6633845" cy="5473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62508"/>
    <w:multiLevelType w:val="singleLevel"/>
    <w:tmpl w:val="D2662508"/>
    <w:lvl w:ilvl="0" w:tentative="0">
      <w:start w:val="1"/>
      <w:numFmt w:val="decimal"/>
      <w:suff w:val="nothing"/>
      <w:lvlText w:val="%1、"/>
      <w:lvlJc w:val="left"/>
    </w:lvl>
  </w:abstractNum>
  <w:abstractNum w:abstractNumId="1">
    <w:nsid w:val="0FC6D150"/>
    <w:multiLevelType w:val="singleLevel"/>
    <w:tmpl w:val="0FC6D15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1"/>
    <w:rsid w:val="001F1DC9"/>
    <w:rsid w:val="002623C0"/>
    <w:rsid w:val="00475D71"/>
    <w:rsid w:val="00570C0B"/>
    <w:rsid w:val="0057247C"/>
    <w:rsid w:val="005E5E46"/>
    <w:rsid w:val="00660662"/>
    <w:rsid w:val="009E124F"/>
    <w:rsid w:val="00AC0E6C"/>
    <w:rsid w:val="00C4772A"/>
    <w:rsid w:val="00C8391E"/>
    <w:rsid w:val="00D2326F"/>
    <w:rsid w:val="028E5A9A"/>
    <w:rsid w:val="06DB711D"/>
    <w:rsid w:val="109476B8"/>
    <w:rsid w:val="10A23047"/>
    <w:rsid w:val="1185575A"/>
    <w:rsid w:val="136D3E39"/>
    <w:rsid w:val="1D20628C"/>
    <w:rsid w:val="200B621B"/>
    <w:rsid w:val="2043467E"/>
    <w:rsid w:val="209833EB"/>
    <w:rsid w:val="23DD798B"/>
    <w:rsid w:val="28970E46"/>
    <w:rsid w:val="30154507"/>
    <w:rsid w:val="38BC259C"/>
    <w:rsid w:val="396809FF"/>
    <w:rsid w:val="3CC447EA"/>
    <w:rsid w:val="3D4A4E91"/>
    <w:rsid w:val="3F1643D5"/>
    <w:rsid w:val="46C93593"/>
    <w:rsid w:val="4C2B38B3"/>
    <w:rsid w:val="52F55514"/>
    <w:rsid w:val="55205842"/>
    <w:rsid w:val="5920448F"/>
    <w:rsid w:val="5933167B"/>
    <w:rsid w:val="5AA70C3E"/>
    <w:rsid w:val="5C2D4A4E"/>
    <w:rsid w:val="604D14F7"/>
    <w:rsid w:val="6123295D"/>
    <w:rsid w:val="6FCB7B3A"/>
    <w:rsid w:val="7527475A"/>
    <w:rsid w:val="7D071B33"/>
    <w:rsid w:val="7EE31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keepNext/>
      <w:keepLines/>
      <w:spacing w:beforeLines="0" w:beforeAutospacing="0" w:afterLines="0" w:afterAutospacing="0" w:line="240" w:lineRule="atLeast"/>
      <w:jc w:val="left"/>
      <w:outlineLvl w:val="0"/>
    </w:pPr>
    <w:rPr>
      <w:rFonts w:ascii="Calibri" w:hAnsi="Calibri"/>
      <w:b/>
      <w:color w:val="FF0000"/>
      <w:kern w:val="44"/>
      <w:sz w:val="21"/>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563C1"/>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脚 Char"/>
    <w:basedOn w:val="6"/>
    <w:link w:val="3"/>
    <w:qFormat/>
    <w:uiPriority w:val="99"/>
    <w:rPr>
      <w:sz w:val="18"/>
      <w:szCs w:val="18"/>
    </w:rPr>
  </w:style>
  <w:style w:type="character" w:customStyle="1" w:styleId="12">
    <w:name w:val="页眉 Char"/>
    <w:basedOn w:val="6"/>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5.GIF"/><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18</TotalTime>
  <ScaleCrop>false</ScaleCrop>
  <LinksUpToDate>false</LinksUpToDate>
  <CharactersWithSpaces>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2020-12-07T10:22:13Z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